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C28" w:rsidRPr="00686446" w:rsidRDefault="00145C28" w:rsidP="00145C28">
      <w:pPr>
        <w:rPr>
          <w:rFonts w:ascii="Calibri" w:hAnsi="Calibri" w:cs="Calibri"/>
        </w:rPr>
      </w:pPr>
      <w:r w:rsidRPr="00686446">
        <w:rPr>
          <w:rFonts w:ascii="Calibri" w:hAnsi="Calibri" w:cs="Calibri"/>
        </w:rPr>
        <w:t xml:space="preserve">Društvo za upravljanje investicionim fondovima </w:t>
      </w:r>
    </w:p>
    <w:p w:rsidR="00145C28" w:rsidRPr="00686446" w:rsidRDefault="00145C28" w:rsidP="00145C28">
      <w:pPr>
        <w:rPr>
          <w:rFonts w:ascii="Calibri" w:hAnsi="Calibri" w:cs="Calibri"/>
        </w:rPr>
      </w:pPr>
      <w:r w:rsidRPr="00686446">
        <w:rPr>
          <w:rFonts w:ascii="Calibri" w:hAnsi="Calibri" w:cs="Calibri"/>
        </w:rPr>
        <w:t>KRISTAL INVEST a.d. Banja Luka</w:t>
      </w:r>
    </w:p>
    <w:p w:rsidR="0036780F" w:rsidRPr="00686446" w:rsidRDefault="00145C28" w:rsidP="00145C28">
      <w:pPr>
        <w:rPr>
          <w:rFonts w:ascii="Calibri" w:hAnsi="Calibri" w:cs="Calibri"/>
        </w:rPr>
      </w:pPr>
      <w:r w:rsidRPr="00686446">
        <w:rPr>
          <w:rFonts w:ascii="Calibri" w:hAnsi="Calibri" w:cs="Calibri"/>
        </w:rPr>
        <w:t>Broj:</w:t>
      </w:r>
    </w:p>
    <w:p w:rsidR="0034280D" w:rsidRPr="00686446" w:rsidRDefault="00145C28" w:rsidP="00145C28">
      <w:pPr>
        <w:rPr>
          <w:rFonts w:ascii="Calibri" w:hAnsi="Calibri" w:cs="Calibri"/>
        </w:rPr>
      </w:pPr>
      <w:r w:rsidRPr="00686446">
        <w:rPr>
          <w:rFonts w:ascii="Calibri" w:hAnsi="Calibri" w:cs="Calibri"/>
        </w:rPr>
        <w:t>Dana:</w:t>
      </w:r>
      <w:r w:rsidR="00F42264">
        <w:rPr>
          <w:rFonts w:ascii="Calibri" w:hAnsi="Calibri" w:cs="Calibri"/>
        </w:rPr>
        <w:t>.</w:t>
      </w:r>
    </w:p>
    <w:p w:rsidR="00865594" w:rsidRPr="00686446" w:rsidRDefault="00865594" w:rsidP="00145C28">
      <w:pPr>
        <w:rPr>
          <w:rFonts w:ascii="Calibri" w:hAnsi="Calibri" w:cs="Calibri"/>
        </w:rPr>
      </w:pPr>
    </w:p>
    <w:p w:rsidR="00865594" w:rsidRDefault="00865594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Default="00294330" w:rsidP="00145C28">
      <w:pPr>
        <w:rPr>
          <w:rFonts w:ascii="Calibri" w:hAnsi="Calibri" w:cs="Calibri"/>
        </w:rPr>
      </w:pPr>
    </w:p>
    <w:p w:rsidR="00294330" w:rsidRPr="00686446" w:rsidRDefault="00294330" w:rsidP="00145C28">
      <w:pPr>
        <w:rPr>
          <w:rFonts w:ascii="Calibri" w:hAnsi="Calibri" w:cs="Calibri"/>
        </w:rPr>
      </w:pPr>
    </w:p>
    <w:p w:rsidR="00B82414" w:rsidRPr="00686446" w:rsidRDefault="003A1426" w:rsidP="005B04B1">
      <w:pPr>
        <w:jc w:val="center"/>
        <w:rPr>
          <w:rFonts w:ascii="Calibri" w:hAnsi="Calibri" w:cs="Calibri"/>
          <w:b/>
          <w:lang w:val="en-US"/>
        </w:rPr>
      </w:pPr>
      <w:r w:rsidRPr="00686446">
        <w:rPr>
          <w:rFonts w:ascii="Calibri" w:hAnsi="Calibri" w:cs="Calibri"/>
          <w:b/>
          <w:lang w:val="en-US"/>
        </w:rPr>
        <w:t>I</w:t>
      </w:r>
      <w:r w:rsidR="000D2CE0" w:rsidRPr="00686446">
        <w:rPr>
          <w:rFonts w:ascii="Calibri" w:hAnsi="Calibri" w:cs="Calibri"/>
          <w:b/>
          <w:lang w:val="en-US"/>
        </w:rPr>
        <w:t>ZVJEŠTAJ</w:t>
      </w:r>
    </w:p>
    <w:p w:rsidR="00F80DA1" w:rsidRPr="00686446" w:rsidRDefault="00D3717A" w:rsidP="005B04B1">
      <w:pPr>
        <w:jc w:val="center"/>
        <w:rPr>
          <w:rFonts w:ascii="Calibri" w:hAnsi="Calibri" w:cs="Calibri"/>
          <w:b/>
          <w:lang w:val="en-US"/>
        </w:rPr>
      </w:pPr>
      <w:r w:rsidRPr="00686446">
        <w:rPr>
          <w:rFonts w:ascii="Calibri" w:hAnsi="Calibri" w:cs="Calibri"/>
          <w:b/>
          <w:lang w:val="en-US"/>
        </w:rPr>
        <w:t>o</w:t>
      </w:r>
      <w:r w:rsidR="00204164" w:rsidRPr="00686446">
        <w:rPr>
          <w:rFonts w:ascii="Calibri" w:hAnsi="Calibri" w:cs="Calibri"/>
          <w:b/>
          <w:lang w:val="en-US"/>
        </w:rPr>
        <w:t xml:space="preserve"> poslovanju </w:t>
      </w:r>
      <w:r w:rsidR="007D77B4">
        <w:rPr>
          <w:rFonts w:ascii="Calibri" w:hAnsi="Calibri" w:cs="Calibri"/>
          <w:b/>
          <w:lang w:val="en-US"/>
        </w:rPr>
        <w:t xml:space="preserve">otvorenog </w:t>
      </w:r>
      <w:r w:rsidR="003918FE">
        <w:rPr>
          <w:rFonts w:ascii="Calibri" w:hAnsi="Calibri" w:cs="Calibri"/>
          <w:b/>
          <w:lang w:val="en-US"/>
        </w:rPr>
        <w:t>akcijsk</w:t>
      </w:r>
      <w:r w:rsidR="00251526">
        <w:rPr>
          <w:rFonts w:ascii="Calibri" w:hAnsi="Calibri" w:cs="Calibri"/>
          <w:b/>
        </w:rPr>
        <w:t>og</w:t>
      </w:r>
      <w:r w:rsidR="003918FE">
        <w:rPr>
          <w:rFonts w:ascii="Calibri" w:hAnsi="Calibri" w:cs="Calibri"/>
          <w:b/>
        </w:rPr>
        <w:t xml:space="preserve"> </w:t>
      </w:r>
      <w:r w:rsidR="007D77B4">
        <w:rPr>
          <w:rFonts w:ascii="Calibri" w:hAnsi="Calibri" w:cs="Calibri"/>
          <w:b/>
          <w:lang w:val="en-US"/>
        </w:rPr>
        <w:t>investicionog fonda</w:t>
      </w:r>
      <w:r w:rsidR="00204164" w:rsidRPr="00686446">
        <w:rPr>
          <w:rFonts w:ascii="Calibri" w:hAnsi="Calibri" w:cs="Calibri"/>
          <w:b/>
          <w:lang w:val="en-US"/>
        </w:rPr>
        <w:t xml:space="preserve"> “</w:t>
      </w:r>
      <w:r w:rsidR="00251526">
        <w:rPr>
          <w:rFonts w:ascii="Calibri" w:hAnsi="Calibri" w:cs="Calibri"/>
          <w:b/>
          <w:lang w:val="en-US"/>
        </w:rPr>
        <w:t>Future</w:t>
      </w:r>
      <w:r w:rsidR="00D57739">
        <w:rPr>
          <w:rFonts w:ascii="Calibri" w:hAnsi="Calibri" w:cs="Calibri"/>
          <w:b/>
          <w:lang w:val="en-US"/>
        </w:rPr>
        <w:t xml:space="preserve"> fund</w:t>
      </w:r>
      <w:r w:rsidR="00204164" w:rsidRPr="00686446">
        <w:rPr>
          <w:rFonts w:ascii="Calibri" w:hAnsi="Calibri" w:cs="Calibri"/>
          <w:b/>
          <w:lang w:val="en-US"/>
        </w:rPr>
        <w:t>”</w:t>
      </w:r>
    </w:p>
    <w:p w:rsidR="00204164" w:rsidRPr="00686446" w:rsidRDefault="00BA0DFD" w:rsidP="005B04B1">
      <w:pPr>
        <w:jc w:val="center"/>
        <w:rPr>
          <w:rFonts w:ascii="Calibri" w:hAnsi="Calibri" w:cs="Calibri"/>
          <w:b/>
          <w:lang w:val="en-US"/>
        </w:rPr>
      </w:pPr>
      <w:r w:rsidRPr="00686446">
        <w:rPr>
          <w:rFonts w:ascii="Calibri" w:hAnsi="Calibri" w:cs="Calibri"/>
          <w:b/>
          <w:lang w:val="en-US"/>
        </w:rPr>
        <w:t>za period 01.01.</w:t>
      </w:r>
      <w:r w:rsidR="005B6F3D">
        <w:rPr>
          <w:rFonts w:ascii="Calibri" w:hAnsi="Calibri" w:cs="Calibri"/>
          <w:b/>
          <w:lang w:val="en-US"/>
        </w:rPr>
        <w:t>2021</w:t>
      </w:r>
      <w:r w:rsidRPr="00686446">
        <w:rPr>
          <w:rFonts w:ascii="Calibri" w:hAnsi="Calibri" w:cs="Calibri"/>
          <w:b/>
          <w:lang w:val="en-US"/>
        </w:rPr>
        <w:t>-3</w:t>
      </w:r>
      <w:r w:rsidR="003C6F15">
        <w:rPr>
          <w:rFonts w:ascii="Calibri" w:hAnsi="Calibri" w:cs="Calibri"/>
          <w:b/>
          <w:lang w:val="en-US"/>
        </w:rPr>
        <w:t>0</w:t>
      </w:r>
      <w:r w:rsidRPr="00686446">
        <w:rPr>
          <w:rFonts w:ascii="Calibri" w:hAnsi="Calibri" w:cs="Calibri"/>
          <w:b/>
          <w:lang w:val="en-US"/>
        </w:rPr>
        <w:t>.</w:t>
      </w:r>
      <w:r w:rsidR="003C6F15">
        <w:rPr>
          <w:rFonts w:ascii="Calibri" w:hAnsi="Calibri" w:cs="Calibri"/>
          <w:b/>
          <w:lang w:val="en-US"/>
        </w:rPr>
        <w:t>06</w:t>
      </w:r>
      <w:r w:rsidR="00A95BB0">
        <w:rPr>
          <w:rFonts w:ascii="Calibri" w:hAnsi="Calibri" w:cs="Calibri"/>
          <w:b/>
          <w:lang w:val="en-US"/>
        </w:rPr>
        <w:t>.</w:t>
      </w:r>
      <w:r w:rsidR="005B6F3D">
        <w:rPr>
          <w:rFonts w:ascii="Calibri" w:hAnsi="Calibri" w:cs="Calibri"/>
          <w:b/>
          <w:lang w:val="en-US"/>
        </w:rPr>
        <w:t>2021</w:t>
      </w:r>
      <w:r w:rsidR="00204164" w:rsidRPr="00686446">
        <w:rPr>
          <w:rFonts w:ascii="Calibri" w:hAnsi="Calibri" w:cs="Calibri"/>
          <w:b/>
          <w:lang w:val="en-US"/>
        </w:rPr>
        <w:t>.</w:t>
      </w:r>
    </w:p>
    <w:p w:rsidR="005B04B1" w:rsidRDefault="005B04B1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294330" w:rsidRDefault="00294330" w:rsidP="005B04B1">
      <w:pPr>
        <w:jc w:val="center"/>
        <w:rPr>
          <w:rFonts w:ascii="Calibri" w:hAnsi="Calibri" w:cs="Calibri"/>
          <w:b/>
          <w:lang w:val="en-US"/>
        </w:rPr>
      </w:pPr>
    </w:p>
    <w:p w:rsidR="00E14F1F" w:rsidRPr="00686446" w:rsidRDefault="001107DD" w:rsidP="009D2BFA">
      <w:pPr>
        <w:jc w:val="both"/>
        <w:rPr>
          <w:rFonts w:ascii="Calibri" w:hAnsi="Calibri" w:cs="Calibri"/>
          <w:lang w:val="en-US"/>
        </w:rPr>
      </w:pPr>
      <w:r w:rsidRPr="00686446">
        <w:rPr>
          <w:rFonts w:ascii="Calibri" w:hAnsi="Calibri" w:cs="Calibri"/>
          <w:lang w:val="en-US"/>
        </w:rPr>
        <w:lastRenderedPageBreak/>
        <w:t>Cilj ovog Izvještaja je da</w:t>
      </w:r>
      <w:r w:rsidR="00F46D98" w:rsidRPr="00686446">
        <w:rPr>
          <w:rFonts w:ascii="Calibri" w:hAnsi="Calibri" w:cs="Calibri"/>
          <w:lang w:val="en-US"/>
        </w:rPr>
        <w:t xml:space="preserve"> Upravni odbor</w:t>
      </w:r>
      <w:r w:rsidR="00A85E47" w:rsidRPr="00686446">
        <w:rPr>
          <w:rFonts w:ascii="Calibri" w:hAnsi="Calibri" w:cs="Calibri"/>
          <w:lang w:val="en-US"/>
        </w:rPr>
        <w:t xml:space="preserve"> Društva za upravljan</w:t>
      </w:r>
      <w:r w:rsidR="00A4596A" w:rsidRPr="00686446">
        <w:rPr>
          <w:rFonts w:ascii="Calibri" w:hAnsi="Calibri" w:cs="Calibri"/>
          <w:lang w:val="en-US"/>
        </w:rPr>
        <w:t>je</w:t>
      </w:r>
      <w:r w:rsidRPr="00686446">
        <w:rPr>
          <w:rFonts w:ascii="Calibri" w:hAnsi="Calibri" w:cs="Calibri"/>
          <w:lang w:val="en-US"/>
        </w:rPr>
        <w:t xml:space="preserve"> investi</w:t>
      </w:r>
      <w:r w:rsidR="00F80DA1" w:rsidRPr="00686446">
        <w:rPr>
          <w:rFonts w:ascii="Calibri" w:hAnsi="Calibri" w:cs="Calibri"/>
          <w:lang w:val="en-US"/>
        </w:rPr>
        <w:t xml:space="preserve">cionim fondovima </w:t>
      </w:r>
      <w:r w:rsidR="00DC67C2" w:rsidRPr="00686446">
        <w:rPr>
          <w:rFonts w:ascii="Calibri" w:hAnsi="Calibri" w:cs="Calibri"/>
          <w:lang w:val="en-US"/>
        </w:rPr>
        <w:t xml:space="preserve">Kristal Invest a.d. Banja Luka </w:t>
      </w:r>
      <w:r w:rsidR="00F80DA1" w:rsidRPr="00686446">
        <w:rPr>
          <w:rFonts w:ascii="Calibri" w:hAnsi="Calibri" w:cs="Calibri"/>
          <w:lang w:val="en-US"/>
        </w:rPr>
        <w:t>upoznamo sa sl</w:t>
      </w:r>
      <w:r w:rsidRPr="00686446">
        <w:rPr>
          <w:rFonts w:ascii="Calibri" w:hAnsi="Calibri" w:cs="Calibri"/>
          <w:lang w:val="en-US"/>
        </w:rPr>
        <w:t xml:space="preserve">jedećim: </w:t>
      </w:r>
    </w:p>
    <w:p w:rsidR="00C45F8A" w:rsidRPr="00686446" w:rsidRDefault="00C45F8A" w:rsidP="009D2BFA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686446">
        <w:rPr>
          <w:rFonts w:ascii="Calibri" w:hAnsi="Calibri" w:cs="Calibri"/>
          <w:lang w:val="en-US"/>
        </w:rPr>
        <w:t>Kretanjem</w:t>
      </w:r>
      <w:r w:rsidR="008E0EA9" w:rsidRPr="00686446">
        <w:rPr>
          <w:rFonts w:ascii="Calibri" w:hAnsi="Calibri" w:cs="Calibri"/>
          <w:lang w:val="en-US"/>
        </w:rPr>
        <w:t xml:space="preserve"> berzanskih</w:t>
      </w:r>
      <w:r w:rsidRPr="00686446">
        <w:rPr>
          <w:rFonts w:ascii="Calibri" w:hAnsi="Calibri" w:cs="Calibri"/>
          <w:lang w:val="en-US"/>
        </w:rPr>
        <w:t xml:space="preserve"> indeksa na domaćim i berzama u okruženju u izvještajnom periodu</w:t>
      </w:r>
      <w:r w:rsidR="005833C3" w:rsidRPr="00686446">
        <w:rPr>
          <w:rFonts w:ascii="Calibri" w:hAnsi="Calibri" w:cs="Calibri"/>
        </w:rPr>
        <w:t>;</w:t>
      </w:r>
    </w:p>
    <w:p w:rsidR="00871469" w:rsidRDefault="00DC67C2" w:rsidP="0081129B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686446">
        <w:rPr>
          <w:rFonts w:ascii="Calibri" w:hAnsi="Calibri" w:cs="Calibri"/>
          <w:lang w:val="en-US"/>
        </w:rPr>
        <w:t>Kupovinama i prodajama hov</w:t>
      </w:r>
      <w:r w:rsidR="0081129B">
        <w:rPr>
          <w:rFonts w:ascii="Calibri" w:hAnsi="Calibri" w:cs="Calibri"/>
          <w:lang w:val="en-US"/>
        </w:rPr>
        <w:t xml:space="preserve"> iz portfelja </w:t>
      </w:r>
      <w:r w:rsidR="0081129B" w:rsidRPr="0081129B">
        <w:rPr>
          <w:rFonts w:ascii="Calibri" w:hAnsi="Calibri" w:cs="Calibri"/>
          <w:lang w:val="en-US"/>
        </w:rPr>
        <w:t>O</w:t>
      </w:r>
      <w:r w:rsidR="004C7334">
        <w:rPr>
          <w:rFonts w:ascii="Calibri" w:hAnsi="Calibri" w:cs="Calibri"/>
          <w:lang w:val="en-US"/>
        </w:rPr>
        <w:t>A</w:t>
      </w:r>
      <w:r w:rsidR="0081129B" w:rsidRPr="0081129B">
        <w:rPr>
          <w:rFonts w:ascii="Calibri" w:hAnsi="Calibri" w:cs="Calibri"/>
          <w:lang w:val="en-US"/>
        </w:rPr>
        <w:t xml:space="preserve">IF-a </w:t>
      </w:r>
      <w:r w:rsidR="008F5DCC">
        <w:rPr>
          <w:rFonts w:ascii="Calibri" w:hAnsi="Calibri" w:cs="Calibri"/>
          <w:lang w:val="en-US"/>
        </w:rPr>
        <w:t>Future</w:t>
      </w:r>
      <w:r w:rsidR="00D57739">
        <w:rPr>
          <w:rFonts w:ascii="Calibri" w:hAnsi="Calibri" w:cs="Calibri"/>
          <w:lang w:val="en-US"/>
        </w:rPr>
        <w:t xml:space="preserve"> fund</w:t>
      </w:r>
    </w:p>
    <w:p w:rsidR="00BB0EC3" w:rsidRDefault="00BB0EC3" w:rsidP="00BB0EC3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Kretanjem neto vrijednosti imovine Fonda</w:t>
      </w:r>
    </w:p>
    <w:p w:rsidR="00BB0EC3" w:rsidRPr="00686446" w:rsidRDefault="00BB0EC3" w:rsidP="00BB0EC3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BB0EC3">
        <w:rPr>
          <w:rFonts w:ascii="Calibri" w:hAnsi="Calibri" w:cs="Calibri"/>
          <w:lang w:val="en-US"/>
        </w:rPr>
        <w:t>Portfeljem Fonda</w:t>
      </w:r>
    </w:p>
    <w:p w:rsidR="00C45F8A" w:rsidRPr="00BB0EC3" w:rsidRDefault="00C45F8A" w:rsidP="00304DAF">
      <w:pPr>
        <w:numPr>
          <w:ilvl w:val="0"/>
          <w:numId w:val="3"/>
        </w:numPr>
        <w:jc w:val="both"/>
        <w:rPr>
          <w:rFonts w:ascii="Calibri" w:hAnsi="Calibri" w:cs="Calibri"/>
          <w:lang w:val="en-US"/>
        </w:rPr>
      </w:pPr>
      <w:r w:rsidRPr="00686446">
        <w:rPr>
          <w:rFonts w:ascii="Calibri" w:hAnsi="Calibri" w:cs="Calibri"/>
          <w:lang w:val="en-US"/>
        </w:rPr>
        <w:t>Bilansnim pokazateljima</w:t>
      </w:r>
      <w:r w:rsidR="00E1634A">
        <w:rPr>
          <w:rFonts w:ascii="Calibri" w:hAnsi="Calibri" w:cs="Calibri"/>
          <w:lang w:val="en-US"/>
        </w:rPr>
        <w:t xml:space="preserve"> </w:t>
      </w:r>
      <w:r w:rsidR="00304DAF" w:rsidRPr="00304DAF">
        <w:rPr>
          <w:rFonts w:ascii="Calibri" w:hAnsi="Calibri" w:cs="Calibri"/>
          <w:lang w:val="en-US"/>
        </w:rPr>
        <w:t>O</w:t>
      </w:r>
      <w:r w:rsidR="004C7334">
        <w:rPr>
          <w:rFonts w:ascii="Calibri" w:hAnsi="Calibri" w:cs="Calibri"/>
          <w:lang w:val="en-US"/>
        </w:rPr>
        <w:t>A</w:t>
      </w:r>
      <w:r w:rsidR="00304DAF" w:rsidRPr="00304DAF">
        <w:rPr>
          <w:rFonts w:ascii="Calibri" w:hAnsi="Calibri" w:cs="Calibri"/>
          <w:lang w:val="en-US"/>
        </w:rPr>
        <w:t xml:space="preserve">IF-a </w:t>
      </w:r>
      <w:r w:rsidR="008F5DCC">
        <w:rPr>
          <w:rFonts w:ascii="Calibri" w:hAnsi="Calibri" w:cs="Calibri"/>
          <w:lang w:val="en-US"/>
        </w:rPr>
        <w:t>Future</w:t>
      </w:r>
      <w:r w:rsidR="00304DAF" w:rsidRPr="00304DAF">
        <w:rPr>
          <w:rFonts w:ascii="Calibri" w:hAnsi="Calibri" w:cs="Calibri"/>
          <w:lang w:val="en-US"/>
        </w:rPr>
        <w:t xml:space="preserve"> fund</w:t>
      </w:r>
    </w:p>
    <w:p w:rsidR="00E3145B" w:rsidRPr="00686446" w:rsidRDefault="00E3145B" w:rsidP="00E3145B">
      <w:pPr>
        <w:ind w:left="360"/>
        <w:rPr>
          <w:rFonts w:ascii="Calibri" w:hAnsi="Calibri" w:cs="Calibri"/>
          <w:lang w:val="en-US"/>
        </w:rPr>
      </w:pPr>
    </w:p>
    <w:p w:rsidR="0034280D" w:rsidRPr="00686446" w:rsidRDefault="0034280D" w:rsidP="00E3145B">
      <w:pPr>
        <w:ind w:left="360"/>
        <w:rPr>
          <w:rFonts w:ascii="Calibri" w:hAnsi="Calibri" w:cs="Calibri"/>
          <w:lang w:val="en-US"/>
        </w:rPr>
      </w:pPr>
    </w:p>
    <w:p w:rsidR="00645F2D" w:rsidRPr="00686446" w:rsidRDefault="004C1E16" w:rsidP="0034280D">
      <w:pPr>
        <w:numPr>
          <w:ilvl w:val="0"/>
          <w:numId w:val="7"/>
        </w:numPr>
        <w:jc w:val="both"/>
        <w:rPr>
          <w:rFonts w:ascii="Calibri" w:hAnsi="Calibri" w:cs="Calibri"/>
          <w:b/>
        </w:rPr>
      </w:pPr>
      <w:r w:rsidRPr="00686446">
        <w:rPr>
          <w:rFonts w:ascii="Calibri" w:hAnsi="Calibri" w:cs="Calibri"/>
          <w:b/>
        </w:rPr>
        <w:t>Kretanje berzanskih indeksa</w:t>
      </w:r>
    </w:p>
    <w:p w:rsidR="0034280D" w:rsidRPr="00686446" w:rsidRDefault="0034280D" w:rsidP="0034280D">
      <w:pPr>
        <w:jc w:val="both"/>
        <w:rPr>
          <w:rFonts w:ascii="Calibri" w:hAnsi="Calibri" w:cs="Calibri"/>
          <w:b/>
        </w:rPr>
      </w:pPr>
    </w:p>
    <w:p w:rsidR="00663680" w:rsidRPr="004A5A09" w:rsidRDefault="00663680" w:rsidP="00663680">
      <w:pPr>
        <w:jc w:val="both"/>
        <w:rPr>
          <w:rFonts w:ascii="Calibri" w:hAnsi="Calibri" w:cs="Calibri"/>
        </w:rPr>
      </w:pPr>
      <w:r w:rsidRPr="004A5A09">
        <w:rPr>
          <w:rFonts w:ascii="Calibri" w:hAnsi="Calibri" w:cs="Calibri"/>
        </w:rPr>
        <w:t>U ovom dijelu izvještaja</w:t>
      </w:r>
      <w:r>
        <w:rPr>
          <w:rFonts w:ascii="Calibri" w:hAnsi="Calibri" w:cs="Calibri"/>
        </w:rPr>
        <w:t xml:space="preserve"> nalazi se</w:t>
      </w:r>
      <w:r w:rsidR="00EB04D2">
        <w:rPr>
          <w:rFonts w:ascii="Calibri" w:hAnsi="Calibri" w:cs="Calibri"/>
        </w:rPr>
        <w:t xml:space="preserve"> prikaz osnovnih podataka</w:t>
      </w:r>
      <w:r>
        <w:rPr>
          <w:rFonts w:ascii="Calibri" w:hAnsi="Calibri" w:cs="Calibri"/>
        </w:rPr>
        <w:t xml:space="preserve"> i </w:t>
      </w:r>
      <w:r w:rsidRPr="004A5A09">
        <w:rPr>
          <w:rFonts w:ascii="Calibri" w:hAnsi="Calibri" w:cs="Calibri"/>
        </w:rPr>
        <w:t xml:space="preserve">komentar dešavanja na Banjalučkoj berzi, </w:t>
      </w:r>
      <w:r>
        <w:rPr>
          <w:rFonts w:ascii="Calibri" w:hAnsi="Calibri" w:cs="Calibri"/>
        </w:rPr>
        <w:t xml:space="preserve">te </w:t>
      </w:r>
      <w:r w:rsidRPr="004A5A09">
        <w:rPr>
          <w:rFonts w:ascii="Calibri" w:hAnsi="Calibri" w:cs="Calibri"/>
        </w:rPr>
        <w:t>kretanje vrijednosti osno</w:t>
      </w:r>
      <w:r>
        <w:rPr>
          <w:rFonts w:ascii="Calibri" w:hAnsi="Calibri" w:cs="Calibri"/>
        </w:rPr>
        <w:t>vnih indeksa regionalnih</w:t>
      </w:r>
      <w:r w:rsidR="00051D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berzi. </w:t>
      </w:r>
    </w:p>
    <w:p w:rsidR="00663680" w:rsidRPr="004A5A09" w:rsidRDefault="00663680" w:rsidP="00663680">
      <w:pPr>
        <w:rPr>
          <w:rFonts w:ascii="Calibri" w:hAnsi="Calibri" w:cs="Calibri"/>
        </w:rPr>
      </w:pPr>
    </w:p>
    <w:p w:rsidR="00663680" w:rsidRPr="003F146E" w:rsidRDefault="00663680" w:rsidP="00663680">
      <w:pPr>
        <w:rPr>
          <w:rFonts w:ascii="Calibri" w:hAnsi="Calibri" w:cs="Calibri"/>
          <w:i/>
          <w:u w:val="single"/>
        </w:rPr>
      </w:pPr>
      <w:r w:rsidRPr="003F146E">
        <w:rPr>
          <w:rFonts w:ascii="Calibri" w:hAnsi="Calibri" w:cs="Calibri"/>
          <w:i/>
          <w:u w:val="single"/>
        </w:rPr>
        <w:t>Banjalučka berza</w:t>
      </w:r>
    </w:p>
    <w:p w:rsidR="00663680" w:rsidRPr="004A5A09" w:rsidRDefault="00663680" w:rsidP="00663680">
      <w:pPr>
        <w:rPr>
          <w:rFonts w:ascii="Calibri" w:hAnsi="Calibri" w:cs="Calibri"/>
        </w:rPr>
      </w:pPr>
    </w:p>
    <w:p w:rsidR="00663680" w:rsidRDefault="00663680" w:rsidP="00663680">
      <w:pPr>
        <w:jc w:val="both"/>
        <w:rPr>
          <w:rFonts w:ascii="Calibri" w:hAnsi="Calibri" w:cs="Calibri"/>
        </w:rPr>
      </w:pPr>
      <w:r w:rsidRPr="004A5A09">
        <w:rPr>
          <w:rFonts w:ascii="Calibri" w:hAnsi="Calibri" w:cs="Calibri"/>
        </w:rPr>
        <w:t>U narednoj tabeli prikazani su mjesečni iznosi vrijednosti ukupnog prometa te visina osnovnih berzanskih indeksa Banjalučke berze za izvještajni vremenski perio</w:t>
      </w:r>
      <w:r>
        <w:rPr>
          <w:rFonts w:ascii="Calibri" w:hAnsi="Calibri" w:cs="Calibri"/>
        </w:rPr>
        <w:t>d</w:t>
      </w:r>
      <w:r w:rsidRPr="004A5A09">
        <w:rPr>
          <w:rFonts w:ascii="Calibri" w:hAnsi="Calibri" w:cs="Calibri"/>
        </w:rPr>
        <w:t>:</w:t>
      </w:r>
    </w:p>
    <w:p w:rsidR="009028F2" w:rsidRDefault="009028F2" w:rsidP="00663680">
      <w:pPr>
        <w:jc w:val="both"/>
        <w:rPr>
          <w:rFonts w:ascii="Calibri" w:hAnsi="Calibri" w:cs="Calibri"/>
        </w:rPr>
      </w:pPr>
    </w:p>
    <w:p w:rsidR="00D8684A" w:rsidRPr="004A5A09" w:rsidRDefault="00D8684A" w:rsidP="00663680">
      <w:pPr>
        <w:jc w:val="both"/>
        <w:rPr>
          <w:rFonts w:ascii="Calibri" w:hAnsi="Calibri" w:cs="Calibri"/>
        </w:rPr>
      </w:pPr>
    </w:p>
    <w:tbl>
      <w:tblPr>
        <w:tblW w:w="8974" w:type="dxa"/>
        <w:tblInd w:w="108" w:type="dxa"/>
        <w:tblLook w:val="04A0" w:firstRow="1" w:lastRow="0" w:firstColumn="1" w:lastColumn="0" w:noHBand="0" w:noVBand="1"/>
      </w:tblPr>
      <w:tblGrid>
        <w:gridCol w:w="2638"/>
        <w:gridCol w:w="2638"/>
        <w:gridCol w:w="1849"/>
        <w:gridCol w:w="1849"/>
      </w:tblGrid>
      <w:tr w:rsidR="009028F2" w:rsidTr="009028F2">
        <w:trPr>
          <w:trHeight w:val="302"/>
        </w:trPr>
        <w:tc>
          <w:tcPr>
            <w:tcW w:w="263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:rsidR="009028F2" w:rsidRDefault="00902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MJESEC</w:t>
            </w:r>
          </w:p>
        </w:tc>
        <w:tc>
          <w:tcPr>
            <w:tcW w:w="2638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:rsidR="009028F2" w:rsidRDefault="00902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PROMET u KM</w:t>
            </w:r>
          </w:p>
        </w:tc>
        <w:tc>
          <w:tcPr>
            <w:tcW w:w="184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:rsidR="009028F2" w:rsidRDefault="00902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BIRS</w:t>
            </w:r>
          </w:p>
        </w:tc>
        <w:tc>
          <w:tcPr>
            <w:tcW w:w="184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auto"/>
            <w:vAlign w:val="center"/>
            <w:hideMark/>
          </w:tcPr>
          <w:p w:rsidR="009028F2" w:rsidRDefault="00902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ORS</w:t>
            </w:r>
          </w:p>
        </w:tc>
      </w:tr>
      <w:tr w:rsidR="009028F2" w:rsidTr="009028F2">
        <w:trPr>
          <w:trHeight w:val="288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600,60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2.842,26</w:t>
            </w:r>
          </w:p>
        </w:tc>
      </w:tr>
      <w:tr w:rsidR="009028F2" w:rsidTr="009028F2">
        <w:trPr>
          <w:trHeight w:val="288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8F2" w:rsidRDefault="009028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41.874.061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600,60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2.863,43</w:t>
            </w:r>
          </w:p>
        </w:tc>
      </w:tr>
      <w:tr w:rsidR="009028F2" w:rsidTr="009028F2">
        <w:trPr>
          <w:trHeight w:val="288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9028F2" w:rsidRDefault="009028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91.358.795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583,57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2.846,23</w:t>
            </w:r>
          </w:p>
        </w:tc>
      </w:tr>
      <w:tr w:rsidR="009028F2" w:rsidTr="009028F2">
        <w:trPr>
          <w:trHeight w:val="288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8F2" w:rsidRDefault="009028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Mart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61.153.678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580,88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2.854,65</w:t>
            </w:r>
          </w:p>
        </w:tc>
      </w:tr>
      <w:tr w:rsidR="009028F2" w:rsidTr="009028F2">
        <w:trPr>
          <w:trHeight w:val="288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9028F2" w:rsidRDefault="009028F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216.706.612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580,82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2.871,32</w:t>
            </w:r>
          </w:p>
        </w:tc>
      </w:tr>
      <w:tr w:rsidR="009028F2" w:rsidTr="009028F2">
        <w:trPr>
          <w:trHeight w:val="288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8F2" w:rsidRDefault="009028F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Maj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9.799.014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581,10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2.877,27</w:t>
            </w:r>
          </w:p>
        </w:tc>
      </w:tr>
      <w:tr w:rsidR="009028F2" w:rsidTr="009028F2">
        <w:trPr>
          <w:trHeight w:val="288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9028F2" w:rsidRDefault="009028F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Jun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54.466.099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580,90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2.896,26</w:t>
            </w:r>
          </w:p>
        </w:tc>
      </w:tr>
      <w:tr w:rsidR="009028F2" w:rsidTr="009028F2">
        <w:trPr>
          <w:trHeight w:val="288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Promjena u 2021</w:t>
            </w: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-3,28%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1,90%</w:t>
            </w:r>
          </w:p>
        </w:tc>
      </w:tr>
    </w:tbl>
    <w:p w:rsidR="00663680" w:rsidRDefault="00663680" w:rsidP="00663680">
      <w:pPr>
        <w:jc w:val="both"/>
        <w:rPr>
          <w:rFonts w:ascii="Calibri" w:hAnsi="Calibri" w:cs="Calibri"/>
        </w:rPr>
      </w:pPr>
    </w:p>
    <w:p w:rsidR="0089299E" w:rsidRDefault="0089299E" w:rsidP="0089299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odnosu</w:t>
      </w:r>
      <w:r w:rsidR="004921AD">
        <w:rPr>
          <w:rFonts w:ascii="Calibri" w:hAnsi="Calibri" w:cs="Calibri"/>
        </w:rPr>
        <w:t xml:space="preserve"> na 31.12.2020.godine, na dan 30.06</w:t>
      </w:r>
      <w:r>
        <w:rPr>
          <w:rFonts w:ascii="Calibri" w:hAnsi="Calibri" w:cs="Calibri"/>
        </w:rPr>
        <w:t>.2021.godine indeks BIRS ostvario je pad od 3,28</w:t>
      </w:r>
      <w:r w:rsidR="004921AD">
        <w:rPr>
          <w:rFonts w:ascii="Calibri" w:hAnsi="Calibri" w:cs="Calibri"/>
        </w:rPr>
        <w:t>%, dok indeks</w:t>
      </w:r>
      <w:r w:rsidRPr="00406206">
        <w:rPr>
          <w:rFonts w:ascii="Calibri" w:hAnsi="Calibri" w:cs="Calibri"/>
        </w:rPr>
        <w:t xml:space="preserve"> obveznica Republike Srpske</w:t>
      </w:r>
      <w:r>
        <w:rPr>
          <w:rFonts w:ascii="Calibri" w:hAnsi="Calibri" w:cs="Calibri"/>
        </w:rPr>
        <w:t xml:space="preserve"> </w:t>
      </w:r>
      <w:r w:rsidR="004921AD">
        <w:rPr>
          <w:rFonts w:ascii="Calibri" w:hAnsi="Calibri" w:cs="Calibri"/>
        </w:rPr>
        <w:t xml:space="preserve">ORS </w:t>
      </w:r>
      <w:r>
        <w:rPr>
          <w:rFonts w:ascii="Calibri" w:hAnsi="Calibri" w:cs="Calibri"/>
        </w:rPr>
        <w:t>bilježi blagi rast u posmatranom peri</w:t>
      </w:r>
      <w:r w:rsidR="004921AD">
        <w:rPr>
          <w:rFonts w:ascii="Calibri" w:hAnsi="Calibri" w:cs="Calibri"/>
        </w:rPr>
        <w:t>odu, tako da je u prvom polugoduštu</w:t>
      </w:r>
      <w:r>
        <w:rPr>
          <w:rFonts w:ascii="Calibri" w:hAnsi="Calibri" w:cs="Calibri"/>
        </w:rPr>
        <w:t xml:space="preserve"> 2021.godine ostvario rast od </w:t>
      </w:r>
      <w:r w:rsidR="004921AD">
        <w:rPr>
          <w:rFonts w:ascii="Calibri" w:hAnsi="Calibri" w:cs="Calibri"/>
        </w:rPr>
        <w:t>1</w:t>
      </w:r>
      <w:r>
        <w:rPr>
          <w:rFonts w:ascii="Calibri" w:hAnsi="Calibri" w:cs="Calibri"/>
        </w:rPr>
        <w:t>,</w:t>
      </w:r>
      <w:r w:rsidR="004921AD">
        <w:rPr>
          <w:rFonts w:ascii="Calibri" w:hAnsi="Calibri" w:cs="Calibri"/>
        </w:rPr>
        <w:t>90</w:t>
      </w:r>
      <w:r>
        <w:rPr>
          <w:rFonts w:ascii="Calibri" w:hAnsi="Calibri" w:cs="Calibri"/>
        </w:rPr>
        <w:t>%.</w:t>
      </w:r>
    </w:p>
    <w:p w:rsidR="0089299E" w:rsidRDefault="0089299E" w:rsidP="0089299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Najve</w:t>
      </w:r>
      <w:r w:rsidR="004C7334">
        <w:rPr>
          <w:rFonts w:ascii="Calibri" w:hAnsi="Calibri" w:cs="Calibri"/>
        </w:rPr>
        <w:t>ći dio ostvarenog prometa u 2021</w:t>
      </w:r>
      <w:r>
        <w:rPr>
          <w:rFonts w:ascii="Calibri" w:hAnsi="Calibri" w:cs="Calibri"/>
        </w:rPr>
        <w:t xml:space="preserve">.godini odnosio se </w:t>
      </w:r>
      <w:r w:rsidRPr="004A5A09">
        <w:rPr>
          <w:rFonts w:ascii="Calibri" w:hAnsi="Calibri" w:cs="Calibri"/>
        </w:rPr>
        <w:t xml:space="preserve">na </w:t>
      </w:r>
      <w:r>
        <w:rPr>
          <w:rFonts w:ascii="Calibri" w:hAnsi="Calibri" w:cs="Calibri"/>
        </w:rPr>
        <w:t xml:space="preserve">emisije trezorskih zapisa i </w:t>
      </w:r>
      <w:r w:rsidRPr="004A5A09">
        <w:rPr>
          <w:rFonts w:ascii="Calibri" w:hAnsi="Calibri" w:cs="Calibri"/>
        </w:rPr>
        <w:t>primarne emisije obveznica</w:t>
      </w:r>
      <w:r>
        <w:rPr>
          <w:rFonts w:ascii="Calibri" w:hAnsi="Calibri" w:cs="Calibri"/>
        </w:rPr>
        <w:t xml:space="preserve"> </w:t>
      </w:r>
      <w:r w:rsidRPr="004A5A09">
        <w:rPr>
          <w:rFonts w:ascii="Calibri" w:hAnsi="Calibri" w:cs="Calibri"/>
        </w:rPr>
        <w:t>emitovanih od strane Republike</w:t>
      </w:r>
      <w:r>
        <w:rPr>
          <w:rFonts w:ascii="Calibri" w:hAnsi="Calibri" w:cs="Calibri"/>
        </w:rPr>
        <w:t xml:space="preserve"> Srpske. </w:t>
      </w:r>
    </w:p>
    <w:p w:rsidR="004921AD" w:rsidRDefault="004921AD" w:rsidP="0089299E">
      <w:pPr>
        <w:jc w:val="both"/>
        <w:rPr>
          <w:rFonts w:ascii="Calibri" w:hAnsi="Calibri" w:cs="Calibri"/>
        </w:rPr>
      </w:pPr>
    </w:p>
    <w:p w:rsidR="00663680" w:rsidRDefault="00663680" w:rsidP="00663680">
      <w:pPr>
        <w:rPr>
          <w:rFonts w:ascii="Calibri" w:hAnsi="Calibri" w:cs="Calibri"/>
        </w:rPr>
      </w:pPr>
    </w:p>
    <w:p w:rsidR="00663680" w:rsidRPr="003F146E" w:rsidRDefault="00663680" w:rsidP="00663680">
      <w:pPr>
        <w:rPr>
          <w:rFonts w:ascii="Calibri" w:hAnsi="Calibri" w:cs="Calibri"/>
          <w:i/>
          <w:u w:val="single"/>
        </w:rPr>
      </w:pPr>
      <w:r w:rsidRPr="003F146E">
        <w:rPr>
          <w:rFonts w:ascii="Calibri" w:hAnsi="Calibri" w:cs="Calibri"/>
          <w:i/>
          <w:u w:val="single"/>
        </w:rPr>
        <w:t>Regionalne berze</w:t>
      </w:r>
    </w:p>
    <w:p w:rsidR="00663680" w:rsidRPr="004A5A09" w:rsidRDefault="00663680" w:rsidP="00663680">
      <w:pPr>
        <w:rPr>
          <w:rFonts w:ascii="Calibri" w:hAnsi="Calibri" w:cs="Calibri"/>
        </w:rPr>
      </w:pPr>
    </w:p>
    <w:p w:rsidR="007D7F5A" w:rsidRDefault="00663680" w:rsidP="00E3031B">
      <w:pPr>
        <w:jc w:val="both"/>
        <w:rPr>
          <w:rFonts w:ascii="Calibri" w:hAnsi="Calibri" w:cs="Calibri"/>
        </w:rPr>
      </w:pPr>
      <w:r w:rsidRPr="004A5A09">
        <w:rPr>
          <w:rFonts w:ascii="Calibri" w:hAnsi="Calibri" w:cs="Calibri"/>
        </w:rPr>
        <w:t xml:space="preserve">U narednoj tabeli prikazane su vrijednosti regionalnih berzanskih indeksa, za izvještajni vremenski period. </w:t>
      </w:r>
      <w:r>
        <w:rPr>
          <w:rFonts w:ascii="Calibri" w:hAnsi="Calibri" w:cs="Calibri"/>
        </w:rPr>
        <w:t>Pod regionalnim berzama podrazumijevamo berze na području bivše Jugoslavije, sa izuzetkom Banjalučke berze.</w:t>
      </w:r>
    </w:p>
    <w:p w:rsidR="004921AD" w:rsidRDefault="004921AD" w:rsidP="00E3031B">
      <w:pPr>
        <w:jc w:val="both"/>
        <w:rPr>
          <w:rFonts w:ascii="Calibri" w:hAnsi="Calibri" w:cs="Calibri"/>
        </w:rPr>
      </w:pPr>
    </w:p>
    <w:p w:rsidR="009028F2" w:rsidRDefault="009028F2" w:rsidP="00E3031B">
      <w:pPr>
        <w:jc w:val="both"/>
        <w:rPr>
          <w:rFonts w:ascii="Calibri" w:hAnsi="Calibri" w:cs="Calibri"/>
        </w:rPr>
      </w:pPr>
    </w:p>
    <w:p w:rsidR="009028F2" w:rsidRDefault="009028F2" w:rsidP="00E3031B">
      <w:pPr>
        <w:jc w:val="both"/>
        <w:rPr>
          <w:rFonts w:ascii="Calibri" w:hAnsi="Calibri" w:cs="Calibri"/>
        </w:rPr>
      </w:pPr>
    </w:p>
    <w:p w:rsidR="009028F2" w:rsidRDefault="009028F2" w:rsidP="00E3031B">
      <w:pPr>
        <w:jc w:val="both"/>
        <w:rPr>
          <w:rFonts w:ascii="Calibri" w:hAnsi="Calibri" w:cs="Calibri"/>
        </w:rPr>
      </w:pPr>
    </w:p>
    <w:tbl>
      <w:tblPr>
        <w:tblW w:w="8985" w:type="dxa"/>
        <w:tblInd w:w="108" w:type="dxa"/>
        <w:tblLook w:val="04A0" w:firstRow="1" w:lastRow="0" w:firstColumn="1" w:lastColumn="0" w:noHBand="0" w:noVBand="1"/>
      </w:tblPr>
      <w:tblGrid>
        <w:gridCol w:w="2174"/>
        <w:gridCol w:w="1358"/>
        <w:gridCol w:w="1275"/>
        <w:gridCol w:w="1379"/>
        <w:gridCol w:w="1337"/>
        <w:gridCol w:w="1462"/>
      </w:tblGrid>
      <w:tr w:rsidR="009028F2" w:rsidTr="004921AD">
        <w:trPr>
          <w:trHeight w:val="312"/>
        </w:trPr>
        <w:tc>
          <w:tcPr>
            <w:tcW w:w="2174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9028F2" w:rsidRDefault="00902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MJESEC</w:t>
            </w:r>
          </w:p>
        </w:tc>
        <w:tc>
          <w:tcPr>
            <w:tcW w:w="1358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9028F2" w:rsidRDefault="00902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SASX10 (Sarajevo)</w:t>
            </w:r>
          </w:p>
        </w:tc>
        <w:tc>
          <w:tcPr>
            <w:tcW w:w="1275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9028F2" w:rsidRDefault="00902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BELEX15 (Beograd)</w:t>
            </w:r>
          </w:p>
        </w:tc>
        <w:tc>
          <w:tcPr>
            <w:tcW w:w="1379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9028F2" w:rsidRDefault="00902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CROBEX (Zagreb)</w:t>
            </w:r>
          </w:p>
        </w:tc>
        <w:tc>
          <w:tcPr>
            <w:tcW w:w="1337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9028F2" w:rsidRDefault="00902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MNSE10 (Crna Gora)</w:t>
            </w:r>
          </w:p>
        </w:tc>
        <w:tc>
          <w:tcPr>
            <w:tcW w:w="1462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9028F2" w:rsidRDefault="00902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SBI TOP (Ljubljana)</w:t>
            </w:r>
          </w:p>
        </w:tc>
      </w:tr>
      <w:tr w:rsidR="009028F2" w:rsidTr="004921AD">
        <w:trPr>
          <w:trHeight w:val="328"/>
        </w:trPr>
        <w:tc>
          <w:tcPr>
            <w:tcW w:w="2174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9028F2" w:rsidRDefault="009028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58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9028F2" w:rsidRDefault="009028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9028F2" w:rsidRDefault="009028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9028F2" w:rsidRDefault="009028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9028F2" w:rsidRDefault="009028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9028F2" w:rsidRDefault="009028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028F2" w:rsidTr="004921AD">
        <w:trPr>
          <w:trHeight w:val="312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775,66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748,61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1.739,29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712,83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900,37</w:t>
            </w:r>
          </w:p>
        </w:tc>
      </w:tr>
      <w:tr w:rsidR="009028F2" w:rsidTr="004921AD">
        <w:trPr>
          <w:trHeight w:val="312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8F2" w:rsidRDefault="009028F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767,75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733,78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1.786,24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727,75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940,01</w:t>
            </w:r>
          </w:p>
        </w:tc>
      </w:tr>
      <w:tr w:rsidR="009028F2" w:rsidTr="004921AD">
        <w:trPr>
          <w:trHeight w:val="312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9028F2" w:rsidRDefault="009028F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760,30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745,64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1.830,19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744,14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965,57</w:t>
            </w:r>
          </w:p>
        </w:tc>
      </w:tr>
      <w:tr w:rsidR="009028F2" w:rsidTr="004921AD">
        <w:trPr>
          <w:trHeight w:val="312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8F2" w:rsidRDefault="009028F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Mart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779,71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754,40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1.872,22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760,76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990,21</w:t>
            </w:r>
          </w:p>
        </w:tc>
      </w:tr>
      <w:tr w:rsidR="009028F2" w:rsidTr="004921AD">
        <w:trPr>
          <w:trHeight w:val="312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9028F2" w:rsidRDefault="009028F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757,62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757,31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1.893,51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753,86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1.065,42</w:t>
            </w:r>
          </w:p>
        </w:tc>
      </w:tr>
      <w:tr w:rsidR="009028F2" w:rsidTr="004921AD">
        <w:trPr>
          <w:trHeight w:val="312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8F2" w:rsidRDefault="009028F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Maj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774,95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768,56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1.932,84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805,51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1.138,94</w:t>
            </w:r>
          </w:p>
        </w:tc>
      </w:tr>
      <w:tr w:rsidR="009028F2" w:rsidTr="004921AD">
        <w:trPr>
          <w:trHeight w:val="312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9028F2" w:rsidRDefault="009028F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Jun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871,66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779,45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1.980,49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744,08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1.124,53</w:t>
            </w:r>
          </w:p>
        </w:tc>
      </w:tr>
      <w:tr w:rsidR="009028F2" w:rsidTr="004921AD">
        <w:trPr>
          <w:trHeight w:val="312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Promjena u 2021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12,38%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4,12%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13,87%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4,38%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24,90%</w:t>
            </w:r>
          </w:p>
        </w:tc>
      </w:tr>
    </w:tbl>
    <w:p w:rsidR="009028F2" w:rsidRDefault="009028F2" w:rsidP="00E3031B">
      <w:pPr>
        <w:jc w:val="both"/>
        <w:rPr>
          <w:rFonts w:ascii="Calibri" w:hAnsi="Calibri" w:cs="Calibri"/>
        </w:rPr>
      </w:pPr>
    </w:p>
    <w:p w:rsidR="005B6F3D" w:rsidRDefault="005B6F3D" w:rsidP="00E3031B">
      <w:pPr>
        <w:jc w:val="both"/>
        <w:rPr>
          <w:rFonts w:ascii="Calibri" w:hAnsi="Calibri" w:cs="Calibri"/>
        </w:rPr>
      </w:pPr>
    </w:p>
    <w:p w:rsidR="0089299E" w:rsidRPr="00FA15D8" w:rsidRDefault="0089299E" w:rsidP="0089299E">
      <w:pPr>
        <w:jc w:val="both"/>
        <w:rPr>
          <w:rFonts w:ascii="Calibri" w:hAnsi="Calibri" w:cs="Calibri"/>
        </w:rPr>
      </w:pPr>
      <w:r w:rsidRPr="00FA15D8">
        <w:rPr>
          <w:rFonts w:ascii="Calibri" w:hAnsi="Calibri" w:cs="Calibri"/>
        </w:rPr>
        <w:t xml:space="preserve">U </w:t>
      </w:r>
      <w:r w:rsidR="004921AD">
        <w:rPr>
          <w:rFonts w:ascii="Calibri" w:hAnsi="Calibri" w:cs="Calibri"/>
        </w:rPr>
        <w:t>prvom polugodištu</w:t>
      </w:r>
      <w:r>
        <w:rPr>
          <w:rFonts w:ascii="Calibri" w:hAnsi="Calibri" w:cs="Calibri"/>
        </w:rPr>
        <w:t xml:space="preserve"> tekuće godine sve regionalne berze su zabilježile rast vrijednosti primarnih indeksa</w:t>
      </w:r>
      <w:r w:rsidRPr="00FA15D8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Najveći rast je ostvario i</w:t>
      </w:r>
      <w:r w:rsidR="004921AD">
        <w:rPr>
          <w:rFonts w:ascii="Calibri" w:hAnsi="Calibri" w:cs="Calibri"/>
        </w:rPr>
        <w:t xml:space="preserve">ndeks Ljubljanske berze od </w:t>
      </w:r>
      <w:r>
        <w:rPr>
          <w:rFonts w:ascii="Calibri" w:hAnsi="Calibri" w:cs="Calibri"/>
        </w:rPr>
        <w:t xml:space="preserve"> </w:t>
      </w:r>
      <w:r w:rsidR="004921AD">
        <w:rPr>
          <w:rFonts w:ascii="Calibri" w:hAnsi="Calibri" w:cs="Calibri"/>
        </w:rPr>
        <w:t>24,90</w:t>
      </w:r>
      <w:r>
        <w:rPr>
          <w:rFonts w:ascii="Calibri" w:hAnsi="Calibri" w:cs="Calibri"/>
        </w:rPr>
        <w:t xml:space="preserve"> % a zatim indeks Zagrebačke berze koji je od početka godine vi</w:t>
      </w:r>
      <w:r>
        <w:rPr>
          <w:rFonts w:ascii="Calibri" w:hAnsi="Calibri" w:cs="Calibri"/>
          <w:lang w:val="sr-Latn-BA"/>
        </w:rPr>
        <w:t>ši</w:t>
      </w:r>
      <w:r w:rsidR="004921AD">
        <w:rPr>
          <w:rFonts w:ascii="Calibri" w:hAnsi="Calibri" w:cs="Calibri"/>
        </w:rPr>
        <w:t xml:space="preserve"> za 13</w:t>
      </w:r>
      <w:r>
        <w:rPr>
          <w:rFonts w:ascii="Calibri" w:hAnsi="Calibri" w:cs="Calibri"/>
        </w:rPr>
        <w:t>,</w:t>
      </w:r>
      <w:r w:rsidR="004921AD">
        <w:rPr>
          <w:rFonts w:ascii="Calibri" w:hAnsi="Calibri" w:cs="Calibri"/>
        </w:rPr>
        <w:t>87</w:t>
      </w:r>
      <w:r>
        <w:rPr>
          <w:rFonts w:ascii="Calibri" w:hAnsi="Calibri" w:cs="Calibri"/>
        </w:rPr>
        <w:t>%, dok je najma</w:t>
      </w:r>
      <w:r w:rsidR="004921AD">
        <w:rPr>
          <w:rFonts w:ascii="Calibri" w:hAnsi="Calibri" w:cs="Calibri"/>
        </w:rPr>
        <w:t>nji rast ostvario indeks Beograd</w:t>
      </w:r>
      <w:r>
        <w:rPr>
          <w:rFonts w:ascii="Calibri" w:hAnsi="Calibri" w:cs="Calibri"/>
        </w:rPr>
        <w:t>ske</w:t>
      </w:r>
      <w:r w:rsidR="004921AD">
        <w:rPr>
          <w:rFonts w:ascii="Calibri" w:hAnsi="Calibri" w:cs="Calibri"/>
        </w:rPr>
        <w:t xml:space="preserve"> berze (BELE</w:t>
      </w:r>
      <w:r>
        <w:rPr>
          <w:rFonts w:ascii="Calibri" w:hAnsi="Calibri" w:cs="Calibri"/>
        </w:rPr>
        <w:t>X1</w:t>
      </w:r>
      <w:r w:rsidR="004921AD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), koji je od početka </w:t>
      </w:r>
      <w:r w:rsidR="004921AD">
        <w:rPr>
          <w:rFonts w:ascii="Calibri" w:hAnsi="Calibri" w:cs="Calibri"/>
        </w:rPr>
        <w:t>godine ostvario rast od</w:t>
      </w:r>
      <w:r>
        <w:rPr>
          <w:rFonts w:ascii="Calibri" w:hAnsi="Calibri" w:cs="Calibri"/>
        </w:rPr>
        <w:t xml:space="preserve"> </w:t>
      </w:r>
      <w:r w:rsidR="004921AD">
        <w:rPr>
          <w:rFonts w:ascii="Calibri" w:hAnsi="Calibri" w:cs="Calibri"/>
        </w:rPr>
        <w:t>4</w:t>
      </w:r>
      <w:r>
        <w:rPr>
          <w:rFonts w:ascii="Calibri" w:hAnsi="Calibri" w:cs="Calibri"/>
        </w:rPr>
        <w:t>,</w:t>
      </w:r>
      <w:r w:rsidR="004921AD">
        <w:rPr>
          <w:rFonts w:ascii="Calibri" w:hAnsi="Calibri" w:cs="Calibri"/>
        </w:rPr>
        <w:t>1</w:t>
      </w:r>
      <w:r>
        <w:rPr>
          <w:rFonts w:ascii="Calibri" w:hAnsi="Calibri" w:cs="Calibri"/>
        </w:rPr>
        <w:t>2%.</w:t>
      </w:r>
    </w:p>
    <w:p w:rsidR="00180725" w:rsidRDefault="00180725" w:rsidP="00180725">
      <w:pPr>
        <w:jc w:val="right"/>
        <w:rPr>
          <w:rFonts w:ascii="Calibri" w:hAnsi="Calibri" w:cs="Calibri"/>
        </w:rPr>
      </w:pPr>
    </w:p>
    <w:p w:rsidR="00D57739" w:rsidRDefault="00D57739" w:rsidP="00645F2D">
      <w:pPr>
        <w:jc w:val="both"/>
        <w:rPr>
          <w:rFonts w:ascii="Calibri" w:hAnsi="Calibri" w:cs="Calibri"/>
        </w:rPr>
      </w:pPr>
    </w:p>
    <w:p w:rsidR="005F2774" w:rsidRDefault="00762AF6" w:rsidP="005F277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u w:val="single"/>
        </w:rPr>
        <w:t xml:space="preserve">Svjetske </w:t>
      </w:r>
      <w:r w:rsidR="005F2774">
        <w:rPr>
          <w:rFonts w:ascii="Calibri" w:hAnsi="Calibri" w:cs="Calibri"/>
          <w:i/>
          <w:u w:val="single"/>
        </w:rPr>
        <w:t xml:space="preserve"> berze</w:t>
      </w:r>
    </w:p>
    <w:p w:rsidR="005F2774" w:rsidRDefault="005F2774" w:rsidP="005F2774">
      <w:pPr>
        <w:jc w:val="both"/>
        <w:rPr>
          <w:rFonts w:ascii="Calibri" w:hAnsi="Calibri" w:cs="Calibri"/>
        </w:rPr>
      </w:pPr>
    </w:p>
    <w:p w:rsidR="005F2774" w:rsidRDefault="005F2774" w:rsidP="005F277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 narednoj tabeli prikazane su vrijednosti vodećih </w:t>
      </w:r>
      <w:r w:rsidR="00762AF6">
        <w:rPr>
          <w:rFonts w:ascii="Calibri" w:hAnsi="Calibri" w:cs="Calibri"/>
        </w:rPr>
        <w:t>svjetskih</w:t>
      </w:r>
      <w:r>
        <w:rPr>
          <w:rFonts w:ascii="Calibri" w:hAnsi="Calibri" w:cs="Calibri"/>
        </w:rPr>
        <w:t xml:space="preserve"> berzanskih indeksa, za izvještajni vremenski period.</w:t>
      </w:r>
    </w:p>
    <w:p w:rsidR="005F2774" w:rsidRDefault="005F2774" w:rsidP="005F2774">
      <w:pPr>
        <w:jc w:val="both"/>
        <w:rPr>
          <w:rFonts w:ascii="Calibri" w:hAnsi="Calibri" w:cs="Calibri"/>
        </w:rPr>
      </w:pPr>
    </w:p>
    <w:tbl>
      <w:tblPr>
        <w:tblW w:w="9520" w:type="dxa"/>
        <w:tblInd w:w="108" w:type="dxa"/>
        <w:tblLook w:val="04A0" w:firstRow="1" w:lastRow="0" w:firstColumn="1" w:lastColumn="0" w:noHBand="0" w:noVBand="1"/>
      </w:tblPr>
      <w:tblGrid>
        <w:gridCol w:w="2040"/>
        <w:gridCol w:w="1280"/>
        <w:gridCol w:w="1300"/>
        <w:gridCol w:w="1340"/>
        <w:gridCol w:w="1800"/>
        <w:gridCol w:w="1760"/>
      </w:tblGrid>
      <w:tr w:rsidR="009028F2" w:rsidTr="009028F2">
        <w:trPr>
          <w:trHeight w:val="300"/>
        </w:trPr>
        <w:tc>
          <w:tcPr>
            <w:tcW w:w="2040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9028F2" w:rsidRDefault="00902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MJESEC</w:t>
            </w:r>
          </w:p>
        </w:tc>
        <w:tc>
          <w:tcPr>
            <w:tcW w:w="1280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DAX</w:t>
            </w:r>
          </w:p>
        </w:tc>
        <w:tc>
          <w:tcPr>
            <w:tcW w:w="1300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FTSE 100</w:t>
            </w:r>
          </w:p>
        </w:tc>
        <w:tc>
          <w:tcPr>
            <w:tcW w:w="1340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DJIA</w:t>
            </w:r>
          </w:p>
        </w:tc>
        <w:tc>
          <w:tcPr>
            <w:tcW w:w="1800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9028F2" w:rsidRDefault="00902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DJ EURO STOXX50</w:t>
            </w:r>
          </w:p>
        </w:tc>
        <w:tc>
          <w:tcPr>
            <w:tcW w:w="1760" w:type="dxa"/>
            <w:vMerge w:val="restart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9028F2" w:rsidRDefault="009028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Nasdaq 100</w:t>
            </w:r>
          </w:p>
        </w:tc>
      </w:tr>
      <w:tr w:rsidR="009028F2" w:rsidTr="009028F2">
        <w:trPr>
          <w:trHeight w:val="315"/>
        </w:trPr>
        <w:tc>
          <w:tcPr>
            <w:tcW w:w="2040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9028F2" w:rsidRDefault="009028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9028F2" w:rsidRDefault="009028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9028F2" w:rsidRDefault="009028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9028F2" w:rsidRDefault="009028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9028F2" w:rsidRDefault="009028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vMerge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vAlign w:val="center"/>
            <w:hideMark/>
          </w:tcPr>
          <w:p w:rsidR="009028F2" w:rsidRDefault="009028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028F2" w:rsidTr="009028F2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13.718,78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6.460,50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30.606,48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3.571,59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12.888,28</w:t>
            </w:r>
          </w:p>
        </w:tc>
      </w:tr>
      <w:tr w:rsidR="009028F2" w:rsidTr="009028F2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9028F2" w:rsidRDefault="009028F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Januar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13.432,87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6.407,46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29.982,62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3.481,44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13.070,70</w:t>
            </w:r>
          </w:p>
        </w:tc>
      </w:tr>
      <w:tr w:rsidR="009028F2" w:rsidTr="009028F2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8F2" w:rsidRDefault="009028F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Februar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13.786,29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6.483,43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30.932,37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3.636,44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13.192,35</w:t>
            </w:r>
          </w:p>
        </w:tc>
      </w:tr>
      <w:tr w:rsidR="009028F2" w:rsidTr="009028F2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9028F2" w:rsidRDefault="009028F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15.008,34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6.713,63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32.981,55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3.919,21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13.246,87</w:t>
            </w:r>
          </w:p>
        </w:tc>
      </w:tr>
      <w:tr w:rsidR="009028F2" w:rsidTr="009028F2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8F2" w:rsidRDefault="009028F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15.135,91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6.969,81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33.874,85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3.974,74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13.962,68</w:t>
            </w:r>
          </w:p>
        </w:tc>
      </w:tr>
      <w:tr w:rsidR="009028F2" w:rsidTr="009028F2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9028F2" w:rsidRDefault="009028F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Maj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15.421,13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7.022,61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34.529,45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4.039,46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13.748,74</w:t>
            </w:r>
          </w:p>
        </w:tc>
      </w:tr>
      <w:tr w:rsidR="009028F2" w:rsidTr="009028F2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28F2" w:rsidRDefault="009028F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15.531,04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7.037,47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34.502,51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4.064,30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14.503,95</w:t>
            </w:r>
          </w:p>
        </w:tc>
      </w:tr>
      <w:tr w:rsidR="009028F2" w:rsidTr="009028F2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9028F2" w:rsidRDefault="009028F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Promjena u 2021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13,21%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8,93%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12,73%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13,80%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9028F2" w:rsidRDefault="009028F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12,54%</w:t>
            </w:r>
          </w:p>
        </w:tc>
      </w:tr>
    </w:tbl>
    <w:p w:rsidR="009028F2" w:rsidRDefault="009028F2" w:rsidP="005F2774">
      <w:pPr>
        <w:jc w:val="both"/>
        <w:rPr>
          <w:rFonts w:ascii="Calibri" w:hAnsi="Calibri" w:cs="Calibri"/>
        </w:rPr>
      </w:pPr>
    </w:p>
    <w:p w:rsidR="007D7F5A" w:rsidRDefault="007D7F5A" w:rsidP="005F2774">
      <w:pPr>
        <w:jc w:val="both"/>
        <w:rPr>
          <w:rFonts w:ascii="Calibri" w:hAnsi="Calibri" w:cs="Calibri"/>
        </w:rPr>
      </w:pPr>
    </w:p>
    <w:p w:rsidR="005F2774" w:rsidRDefault="005F2774" w:rsidP="005F277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 posma</w:t>
      </w:r>
      <w:r w:rsidR="001E3A21">
        <w:rPr>
          <w:rFonts w:ascii="Calibri" w:hAnsi="Calibri" w:cs="Calibri"/>
        </w:rPr>
        <w:t xml:space="preserve">tranom vremenskom periodu </w:t>
      </w:r>
      <w:r w:rsidR="005C1A3C">
        <w:rPr>
          <w:rFonts w:ascii="Calibri" w:hAnsi="Calibri" w:cs="Calibri"/>
        </w:rPr>
        <w:t xml:space="preserve">svi </w:t>
      </w:r>
      <w:r w:rsidR="001E3A21">
        <w:rPr>
          <w:rFonts w:ascii="Calibri" w:hAnsi="Calibri" w:cs="Calibri"/>
        </w:rPr>
        <w:t>posmatrani</w:t>
      </w:r>
      <w:r w:rsidR="00FC2B47">
        <w:rPr>
          <w:rFonts w:ascii="Calibri" w:hAnsi="Calibri" w:cs="Calibri"/>
        </w:rPr>
        <w:t xml:space="preserve"> indeks</w:t>
      </w:r>
      <w:r w:rsidR="00A40048">
        <w:rPr>
          <w:rFonts w:ascii="Calibri" w:hAnsi="Calibri" w:cs="Calibri"/>
        </w:rPr>
        <w:t>i su ostvarili rast vrijednosti</w:t>
      </w:r>
      <w:r w:rsidR="005C1A3C">
        <w:rPr>
          <w:rFonts w:ascii="Calibri" w:hAnsi="Calibri" w:cs="Calibri"/>
        </w:rPr>
        <w:t>, pri čemu je</w:t>
      </w:r>
      <w:r w:rsidR="006D0922">
        <w:rPr>
          <w:rFonts w:ascii="Calibri" w:hAnsi="Calibri" w:cs="Calibri"/>
        </w:rPr>
        <w:t xml:space="preserve"> </w:t>
      </w:r>
      <w:r w:rsidR="007D7F5A">
        <w:rPr>
          <w:rFonts w:ascii="Calibri" w:hAnsi="Calibri" w:cs="Calibri"/>
        </w:rPr>
        <w:t>EURO STOXX50</w:t>
      </w:r>
      <w:r w:rsidR="00CD1640">
        <w:rPr>
          <w:rFonts w:ascii="Calibri" w:hAnsi="Calibri" w:cs="Calibri"/>
        </w:rPr>
        <w:t xml:space="preserve"> indeks</w:t>
      </w:r>
      <w:r w:rsidR="006D0922">
        <w:rPr>
          <w:rFonts w:ascii="Calibri" w:hAnsi="Calibri" w:cs="Calibri"/>
        </w:rPr>
        <w:t xml:space="preserve"> </w:t>
      </w:r>
      <w:r w:rsidR="005C1A3C">
        <w:rPr>
          <w:rFonts w:ascii="Calibri" w:hAnsi="Calibri" w:cs="Calibri"/>
        </w:rPr>
        <w:t xml:space="preserve">imao najveći </w:t>
      </w:r>
      <w:r w:rsidR="00A40048">
        <w:rPr>
          <w:rFonts w:ascii="Calibri" w:hAnsi="Calibri" w:cs="Calibri"/>
        </w:rPr>
        <w:t>rast</w:t>
      </w:r>
      <w:r w:rsidR="00D8684A">
        <w:rPr>
          <w:rFonts w:ascii="Calibri" w:hAnsi="Calibri" w:cs="Calibri"/>
        </w:rPr>
        <w:t xml:space="preserve"> od </w:t>
      </w:r>
      <w:r w:rsidR="004921AD">
        <w:rPr>
          <w:rFonts w:ascii="Calibri" w:hAnsi="Calibri" w:cs="Calibri"/>
        </w:rPr>
        <w:t>13</w:t>
      </w:r>
      <w:r w:rsidR="007D7F5A">
        <w:rPr>
          <w:rFonts w:ascii="Calibri" w:hAnsi="Calibri" w:cs="Calibri"/>
        </w:rPr>
        <w:t>,</w:t>
      </w:r>
      <w:r w:rsidR="004921AD">
        <w:rPr>
          <w:rFonts w:ascii="Calibri" w:hAnsi="Calibri" w:cs="Calibri"/>
        </w:rPr>
        <w:t>80</w:t>
      </w:r>
      <w:r w:rsidR="001E3A21">
        <w:rPr>
          <w:rFonts w:ascii="Calibri" w:hAnsi="Calibri" w:cs="Calibri"/>
        </w:rPr>
        <w:t>%</w:t>
      </w:r>
      <w:r w:rsidR="00FC2B47">
        <w:rPr>
          <w:rFonts w:ascii="Calibri" w:hAnsi="Calibri" w:cs="Calibri"/>
        </w:rPr>
        <w:t xml:space="preserve">, </w:t>
      </w:r>
      <w:r w:rsidR="00D8684A">
        <w:rPr>
          <w:rFonts w:ascii="Calibri" w:hAnsi="Calibri" w:cs="Calibri"/>
        </w:rPr>
        <w:t xml:space="preserve">a </w:t>
      </w:r>
      <w:r w:rsidR="005C1A3C">
        <w:rPr>
          <w:rFonts w:ascii="Calibri" w:hAnsi="Calibri" w:cs="Calibri"/>
        </w:rPr>
        <w:t xml:space="preserve">najmanji </w:t>
      </w:r>
      <w:r w:rsidR="00A40048">
        <w:rPr>
          <w:rFonts w:ascii="Calibri" w:hAnsi="Calibri" w:cs="Calibri"/>
        </w:rPr>
        <w:t>rast</w:t>
      </w:r>
      <w:r w:rsidR="005C1A3C">
        <w:rPr>
          <w:rFonts w:ascii="Calibri" w:hAnsi="Calibri" w:cs="Calibri"/>
        </w:rPr>
        <w:t xml:space="preserve"> je imao indeks</w:t>
      </w:r>
      <w:r w:rsidR="004921AD">
        <w:rPr>
          <w:rFonts w:ascii="Calibri" w:hAnsi="Calibri" w:cs="Calibri"/>
        </w:rPr>
        <w:t xml:space="preserve"> FTSE</w:t>
      </w:r>
      <w:r w:rsidR="00A40048">
        <w:rPr>
          <w:rFonts w:ascii="Calibri" w:hAnsi="Calibri" w:cs="Calibri"/>
        </w:rPr>
        <w:t xml:space="preserve"> 100, koji je imao rast</w:t>
      </w:r>
      <w:r w:rsidR="007D7F5A">
        <w:rPr>
          <w:rFonts w:ascii="Calibri" w:hAnsi="Calibri" w:cs="Calibri"/>
        </w:rPr>
        <w:t xml:space="preserve"> od</w:t>
      </w:r>
      <w:r w:rsidR="006D0922">
        <w:rPr>
          <w:rFonts w:ascii="Calibri" w:hAnsi="Calibri" w:cs="Calibri"/>
        </w:rPr>
        <w:t xml:space="preserve"> </w:t>
      </w:r>
      <w:r w:rsidR="004921AD">
        <w:rPr>
          <w:rFonts w:ascii="Calibri" w:hAnsi="Calibri" w:cs="Calibri"/>
        </w:rPr>
        <w:t>8</w:t>
      </w:r>
      <w:r w:rsidR="007D7F5A">
        <w:rPr>
          <w:rFonts w:ascii="Calibri" w:hAnsi="Calibri" w:cs="Calibri"/>
        </w:rPr>
        <w:t>,</w:t>
      </w:r>
      <w:r w:rsidR="004921AD">
        <w:rPr>
          <w:rFonts w:ascii="Calibri" w:hAnsi="Calibri" w:cs="Calibri"/>
        </w:rPr>
        <w:t>93</w:t>
      </w:r>
      <w:r w:rsidR="005E3249">
        <w:rPr>
          <w:rFonts w:ascii="Calibri" w:hAnsi="Calibri" w:cs="Calibri"/>
        </w:rPr>
        <w:t>%</w:t>
      </w:r>
      <w:r w:rsidR="00FC2B47">
        <w:rPr>
          <w:rFonts w:ascii="Calibri" w:hAnsi="Calibri" w:cs="Calibri"/>
        </w:rPr>
        <w:t>.</w:t>
      </w:r>
    </w:p>
    <w:p w:rsidR="005F2774" w:rsidRPr="007D7F5A" w:rsidRDefault="005F2774" w:rsidP="00645F2D">
      <w:pPr>
        <w:jc w:val="both"/>
        <w:rPr>
          <w:rFonts w:ascii="Calibri" w:hAnsi="Calibri" w:cs="Calibri"/>
        </w:rPr>
      </w:pPr>
    </w:p>
    <w:p w:rsidR="005C1A3C" w:rsidRDefault="005C1A3C" w:rsidP="00645F2D">
      <w:pPr>
        <w:jc w:val="both"/>
        <w:rPr>
          <w:rFonts w:ascii="Calibri" w:hAnsi="Calibri" w:cs="Calibri"/>
        </w:rPr>
      </w:pPr>
    </w:p>
    <w:p w:rsidR="00AA2D3D" w:rsidRPr="006D0922" w:rsidRDefault="00DC67C2" w:rsidP="00445B19">
      <w:pPr>
        <w:numPr>
          <w:ilvl w:val="0"/>
          <w:numId w:val="7"/>
        </w:numPr>
        <w:rPr>
          <w:rFonts w:ascii="Calibri" w:hAnsi="Calibri" w:cs="Calibri"/>
          <w:b/>
        </w:rPr>
      </w:pPr>
      <w:r w:rsidRPr="006D0922">
        <w:rPr>
          <w:rFonts w:ascii="Calibri" w:hAnsi="Calibri" w:cs="Calibri"/>
          <w:b/>
        </w:rPr>
        <w:t>Kupovina i prodaja hartija od vrijednosti</w:t>
      </w:r>
    </w:p>
    <w:p w:rsidR="00445B19" w:rsidRPr="00686446" w:rsidRDefault="00445B19" w:rsidP="00445B19">
      <w:pPr>
        <w:rPr>
          <w:rFonts w:ascii="Calibri" w:hAnsi="Calibri" w:cs="Calibri"/>
          <w:lang w:val="en-US"/>
        </w:rPr>
      </w:pPr>
    </w:p>
    <w:p w:rsidR="005446FF" w:rsidRDefault="005446FF" w:rsidP="005446F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Prateći investicioni cilj Fonda</w:t>
      </w:r>
      <w:r w:rsidR="001F6D3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Društvo je u izvještajnom periodu vršilo restruktuiranja portfelja fonda na način na koji je objašnjen</w:t>
      </w:r>
      <w:r w:rsidR="001F6D3E">
        <w:rPr>
          <w:rFonts w:ascii="Calibri" w:hAnsi="Calibri" w:cs="Calibri"/>
        </w:rPr>
        <w:t xml:space="preserve"> u nastavku</w:t>
      </w:r>
      <w:r>
        <w:rPr>
          <w:rFonts w:ascii="Calibri" w:hAnsi="Calibri" w:cs="Calibri"/>
        </w:rPr>
        <w:t>.</w:t>
      </w:r>
    </w:p>
    <w:p w:rsidR="00CA0093" w:rsidRDefault="00CA0093" w:rsidP="00D03DA0">
      <w:pPr>
        <w:jc w:val="both"/>
        <w:rPr>
          <w:rFonts w:ascii="Calibri" w:hAnsi="Calibri" w:cs="Calibri"/>
        </w:rPr>
      </w:pPr>
    </w:p>
    <w:p w:rsidR="00CA0093" w:rsidRDefault="00CA0093" w:rsidP="00CA0093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2.1</w:t>
      </w:r>
      <w:r w:rsidRPr="004A5A09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Kupovina hov</w:t>
      </w:r>
    </w:p>
    <w:p w:rsidR="00CA0093" w:rsidRDefault="00CA0093" w:rsidP="00CA0093">
      <w:pPr>
        <w:jc w:val="both"/>
        <w:rPr>
          <w:rFonts w:ascii="Calibri" w:hAnsi="Calibri" w:cs="Calibri"/>
        </w:rPr>
      </w:pPr>
    </w:p>
    <w:tbl>
      <w:tblPr>
        <w:tblW w:w="9500" w:type="dxa"/>
        <w:tblInd w:w="93" w:type="dxa"/>
        <w:tblLook w:val="04A0" w:firstRow="1" w:lastRow="0" w:firstColumn="1" w:lastColumn="0" w:noHBand="0" w:noVBand="1"/>
      </w:tblPr>
      <w:tblGrid>
        <w:gridCol w:w="5544"/>
        <w:gridCol w:w="1984"/>
        <w:gridCol w:w="1972"/>
      </w:tblGrid>
      <w:tr w:rsidR="00C80A19" w:rsidTr="00FA568F">
        <w:trPr>
          <w:trHeight w:val="568"/>
        </w:trPr>
        <w:tc>
          <w:tcPr>
            <w:tcW w:w="5544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C80A19" w:rsidRDefault="00C80A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Naziv emitenta</w:t>
            </w:r>
          </w:p>
        </w:tc>
        <w:tc>
          <w:tcPr>
            <w:tcW w:w="1984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C80A19" w:rsidRDefault="00C80A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Broj kupljenih HOV</w:t>
            </w:r>
          </w:p>
        </w:tc>
        <w:tc>
          <w:tcPr>
            <w:tcW w:w="197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C80A19" w:rsidRDefault="00C80A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Vrijednost</w:t>
            </w:r>
          </w:p>
        </w:tc>
      </w:tr>
      <w:tr w:rsidR="00C80A19" w:rsidTr="00FA568F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A911A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Apple Inc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A911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</w:t>
            </w:r>
            <w:r w:rsidR="001F2462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A911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198.000,00</w:t>
            </w:r>
            <w:r w:rsidR="00C80A19">
              <w:rPr>
                <w:rFonts w:ascii="Calibri" w:hAnsi="Calibri"/>
                <w:color w:val="000000"/>
                <w:sz w:val="22"/>
                <w:szCs w:val="22"/>
              </w:rPr>
              <w:t xml:space="preserve"> KM</w:t>
            </w:r>
          </w:p>
        </w:tc>
      </w:tr>
      <w:tr w:rsidR="00C80A19" w:rsidTr="00FA568F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C80A19" w:rsidRDefault="00A911A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Alibaba Group Holding Limited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C80A19" w:rsidRDefault="00A911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1.260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C80A19" w:rsidRDefault="00A911A5" w:rsidP="00A911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498</w:t>
            </w:r>
            <w:r w:rsidR="004471A7" w:rsidRPr="004471A7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006,14</w:t>
            </w:r>
            <w:r w:rsidR="004471A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C80A19">
              <w:rPr>
                <w:rFonts w:ascii="Calibri" w:hAnsi="Calibri"/>
                <w:color w:val="000000"/>
                <w:sz w:val="22"/>
                <w:szCs w:val="22"/>
              </w:rPr>
              <w:t>KM</w:t>
            </w:r>
          </w:p>
        </w:tc>
      </w:tr>
      <w:tr w:rsidR="00C80A19" w:rsidTr="00FA568F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A911A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Hugo Boss AG Metzingen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4471A7" w:rsidP="00A911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6.000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A911A5" w:rsidP="00A911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343</w:t>
            </w:r>
            <w:r w:rsidR="004471A7" w:rsidRPr="004471A7">
              <w:rPr>
                <w:rFonts w:ascii="Calibri" w:hAnsi="Calibri"/>
                <w:color w:val="000000"/>
                <w:sz w:val="22"/>
                <w:szCs w:val="22"/>
              </w:rPr>
              <w:t>.2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74,06</w:t>
            </w:r>
            <w:r w:rsidR="004471A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C80A19">
              <w:rPr>
                <w:rFonts w:ascii="Calibri" w:hAnsi="Calibri"/>
                <w:color w:val="000000"/>
                <w:sz w:val="22"/>
                <w:szCs w:val="22"/>
              </w:rPr>
              <w:t>KM</w:t>
            </w:r>
          </w:p>
        </w:tc>
      </w:tr>
      <w:tr w:rsidR="004471A7" w:rsidTr="00FA568F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4471A7" w:rsidRDefault="00A911A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Citigroup Inc. New York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4471A7" w:rsidRDefault="004471A7" w:rsidP="00A911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71A7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  <w:r w:rsidR="00A911A5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  <w:r w:rsidRPr="004471A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4471A7" w:rsidRDefault="00A911A5" w:rsidP="00A911A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333</w:t>
            </w:r>
            <w:r w:rsidR="004471A7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124</w:t>
            </w:r>
            <w:r w:rsidR="004471A7">
              <w:rPr>
                <w:rFonts w:ascii="Calibri" w:hAnsi="Calibri"/>
                <w:color w:val="000000"/>
                <w:sz w:val="22"/>
                <w:szCs w:val="22"/>
              </w:rPr>
              <w:t>,8</w:t>
            </w:r>
            <w:r w:rsidR="004471A7" w:rsidRPr="004471A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4471A7">
              <w:rPr>
                <w:rFonts w:ascii="Calibri" w:hAnsi="Calibri"/>
                <w:color w:val="000000"/>
                <w:sz w:val="22"/>
                <w:szCs w:val="22"/>
              </w:rPr>
              <w:t xml:space="preserve"> KM</w:t>
            </w:r>
          </w:p>
        </w:tc>
      </w:tr>
      <w:tr w:rsidR="00C80A19" w:rsidTr="00872107">
        <w:trPr>
          <w:trHeight w:val="300"/>
        </w:trPr>
        <w:tc>
          <w:tcPr>
            <w:tcW w:w="55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C80A1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Republika Srpska – stara devizna štednja 8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1924D9" w:rsidP="001924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</w:t>
            </w:r>
            <w:r w:rsidR="00FA568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  <w:r w:rsidR="00A911A5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1924D9" w:rsidP="001924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  <w:r w:rsidR="00FA568F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063</w:t>
            </w:r>
            <w:r w:rsidR="00FA568F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AD7299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C80A19">
              <w:rPr>
                <w:rFonts w:ascii="Calibri" w:hAnsi="Calibri"/>
                <w:color w:val="000000"/>
                <w:sz w:val="22"/>
                <w:szCs w:val="22"/>
              </w:rPr>
              <w:t xml:space="preserve"> KM</w:t>
            </w:r>
          </w:p>
        </w:tc>
      </w:tr>
      <w:tr w:rsidR="00872107" w:rsidTr="00872107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AD729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TUI AG Hannover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AD72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65.400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AD72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499.719,32 KM</w:t>
            </w:r>
          </w:p>
        </w:tc>
      </w:tr>
      <w:tr w:rsidR="00872107" w:rsidTr="00872107">
        <w:trPr>
          <w:trHeight w:val="300"/>
        </w:trPr>
        <w:tc>
          <w:tcPr>
            <w:tcW w:w="55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2107" w:rsidRDefault="00AD729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JinkoSolar Holding Co Ltd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2107" w:rsidRDefault="001924D9" w:rsidP="001924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AD7299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AD7299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9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2107" w:rsidRDefault="001924D9" w:rsidP="001924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655</w:t>
            </w:r>
            <w:r w:rsidR="00AD7299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306</w:t>
            </w:r>
            <w:r w:rsidR="00AD7299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  <w:r w:rsidR="00AD7299">
              <w:rPr>
                <w:rFonts w:ascii="Calibri" w:hAnsi="Calibri"/>
                <w:color w:val="000000"/>
                <w:sz w:val="22"/>
                <w:szCs w:val="22"/>
              </w:rPr>
              <w:t xml:space="preserve"> KM</w:t>
            </w:r>
          </w:p>
        </w:tc>
      </w:tr>
      <w:tr w:rsidR="00872107" w:rsidTr="00872107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AD729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Xpeng Inc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AD72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4.700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AD72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239.026,24 KM</w:t>
            </w:r>
          </w:p>
        </w:tc>
      </w:tr>
      <w:tr w:rsidR="00872107" w:rsidTr="00872107">
        <w:trPr>
          <w:trHeight w:val="300"/>
        </w:trPr>
        <w:tc>
          <w:tcPr>
            <w:tcW w:w="554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2107" w:rsidRDefault="00AD729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Vonage Holdings Corp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2107" w:rsidRDefault="00AD72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14.000</w:t>
            </w:r>
          </w:p>
        </w:tc>
        <w:tc>
          <w:tcPr>
            <w:tcW w:w="19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2107" w:rsidRDefault="00AD729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292.256,86 KM</w:t>
            </w:r>
          </w:p>
        </w:tc>
      </w:tr>
      <w:tr w:rsidR="00872107" w:rsidTr="001924D9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872107" w:rsidRDefault="004B10EF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Canadian Solar Inc.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AC51B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5.700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AC51B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398.859,12 KM</w:t>
            </w:r>
          </w:p>
        </w:tc>
      </w:tr>
      <w:tr w:rsidR="00872107" w:rsidTr="00FA568F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107" w:rsidRDefault="004B10EF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Fresenius SE </w:t>
            </w:r>
            <w:r w:rsidR="00AC51BB">
              <w:rPr>
                <w:rFonts w:ascii="Calibri" w:hAnsi="Calibri"/>
                <w:color w:val="000000"/>
                <w:sz w:val="22"/>
                <w:szCs w:val="22"/>
              </w:rPr>
              <w:t>&amp; Co. KGaA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107" w:rsidRDefault="00AC51B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7.270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107" w:rsidRDefault="00AC51B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499.724,56 KM</w:t>
            </w:r>
          </w:p>
        </w:tc>
      </w:tr>
      <w:tr w:rsidR="001924D9" w:rsidTr="001924D9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1924D9" w:rsidRDefault="001924D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Baidu Inc.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1924D9" w:rsidRDefault="001924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1.370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1924D9" w:rsidRDefault="001924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498.851,45 KM</w:t>
            </w:r>
          </w:p>
        </w:tc>
      </w:tr>
      <w:tr w:rsidR="001924D9" w:rsidTr="00FA568F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24D9" w:rsidRDefault="001924D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Cancom SE Minhen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24D9" w:rsidRDefault="001924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4.000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24D9" w:rsidRDefault="001924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399.986,79 KM</w:t>
            </w:r>
          </w:p>
        </w:tc>
      </w:tr>
      <w:tr w:rsidR="001924D9" w:rsidTr="001924D9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1924D9" w:rsidRDefault="001924D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1924D9">
              <w:rPr>
                <w:rFonts w:ascii="Calibri" w:hAnsi="Calibri"/>
                <w:color w:val="000000"/>
                <w:sz w:val="22"/>
                <w:szCs w:val="22"/>
              </w:rPr>
              <w:t>Regeneron Pharmaceuticals, Inc.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1924D9" w:rsidRDefault="001924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1924D9" w:rsidRDefault="001924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316.961,10 KM</w:t>
            </w:r>
          </w:p>
        </w:tc>
      </w:tr>
      <w:tr w:rsidR="001924D9" w:rsidTr="00FA568F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24D9" w:rsidRDefault="001924D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Intel Corporation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24D9" w:rsidRDefault="001924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5.480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24D9" w:rsidRDefault="001924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497.100,80 KM</w:t>
            </w:r>
          </w:p>
        </w:tc>
      </w:tr>
      <w:tr w:rsidR="001924D9" w:rsidTr="001924D9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1924D9" w:rsidRDefault="001924D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Barrick Gold Corporation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1924D9" w:rsidRDefault="001924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13.100</w: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1924D9" w:rsidRDefault="001924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498.136,13 KM</w:t>
            </w:r>
          </w:p>
        </w:tc>
      </w:tr>
      <w:tr w:rsidR="00C80A19" w:rsidTr="001924D9">
        <w:trPr>
          <w:trHeight w:val="300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C80A19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C80A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1924D9" w:rsidP="001924D9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  <w:r w:rsidR="00A52B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243</w:t>
            </w:r>
            <w:r w:rsidR="00A52B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397</w:t>
            </w:r>
            <w:r w:rsidR="00A52B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r w:rsidR="00A52BA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  <w:r w:rsidR="006D0922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80A1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KM</w:t>
            </w:r>
          </w:p>
        </w:tc>
      </w:tr>
    </w:tbl>
    <w:p w:rsidR="009534B7" w:rsidRDefault="009534B7" w:rsidP="00F004D7">
      <w:pPr>
        <w:jc w:val="both"/>
        <w:rPr>
          <w:rFonts w:ascii="Calibri" w:hAnsi="Calibri" w:cs="Calibri"/>
        </w:rPr>
      </w:pPr>
    </w:p>
    <w:p w:rsidR="006D0922" w:rsidRDefault="00FA568F" w:rsidP="007B62F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Osim jedne kupovine </w:t>
      </w:r>
      <w:r w:rsidR="00A40048">
        <w:rPr>
          <w:rFonts w:ascii="Calibri" w:hAnsi="Calibri" w:cs="Calibri"/>
        </w:rPr>
        <w:t>obveznice koje je emitovala Republika Srpska za izmirenje obaveza po osnovu stare devizne štednje</w:t>
      </w:r>
      <w:r>
        <w:rPr>
          <w:rFonts w:ascii="Calibri" w:hAnsi="Calibri" w:cs="Calibri"/>
        </w:rPr>
        <w:t>, ulaganja</w:t>
      </w:r>
      <w:r w:rsidR="007B62FC">
        <w:rPr>
          <w:rFonts w:ascii="Calibri" w:hAnsi="Calibri" w:cs="Calibri"/>
        </w:rPr>
        <w:t xml:space="preserve"> su vršena isključivo u</w:t>
      </w:r>
      <w:r w:rsidR="00A40048">
        <w:rPr>
          <w:rFonts w:ascii="Calibri" w:hAnsi="Calibri" w:cs="Calibri"/>
        </w:rPr>
        <w:t xml:space="preserve"> akcije emitenata sa inostranih tržišta</w:t>
      </w:r>
      <w:r>
        <w:rPr>
          <w:rFonts w:ascii="Calibri" w:hAnsi="Calibri" w:cs="Calibri"/>
        </w:rPr>
        <w:t xml:space="preserve">. </w:t>
      </w:r>
    </w:p>
    <w:p w:rsidR="00AF5FA2" w:rsidRDefault="006D0922" w:rsidP="00D03DA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Ukupn</w:t>
      </w:r>
      <w:r w:rsidR="0032289A">
        <w:rPr>
          <w:rFonts w:ascii="Calibri" w:hAnsi="Calibri" w:cs="Calibri"/>
        </w:rPr>
        <w:t>a ulaganja u prvom polugodištu</w:t>
      </w:r>
      <w:r w:rsidR="00A40048">
        <w:rPr>
          <w:rFonts w:ascii="Calibri" w:hAnsi="Calibri" w:cs="Calibri"/>
        </w:rPr>
        <w:t xml:space="preserve"> 2021</w:t>
      </w:r>
      <w:r>
        <w:rPr>
          <w:rFonts w:ascii="Calibri" w:hAnsi="Calibri" w:cs="Calibri"/>
        </w:rPr>
        <w:t>.godine</w:t>
      </w:r>
      <w:r w:rsidR="007B62FC">
        <w:rPr>
          <w:rFonts w:ascii="Calibri" w:hAnsi="Calibri" w:cs="Calibri"/>
        </w:rPr>
        <w:t xml:space="preserve"> iznosila su </w:t>
      </w:r>
      <w:r w:rsidR="0032289A">
        <w:rPr>
          <w:rFonts w:ascii="Calibri" w:hAnsi="Calibri" w:cs="Calibri"/>
        </w:rPr>
        <w:t>6</w:t>
      </w:r>
      <w:r w:rsidR="00A40048">
        <w:rPr>
          <w:rFonts w:ascii="Calibri" w:hAnsi="Calibri"/>
          <w:bCs/>
          <w:color w:val="000000"/>
          <w:sz w:val="22"/>
          <w:szCs w:val="22"/>
        </w:rPr>
        <w:t>.</w:t>
      </w:r>
      <w:r w:rsidR="0032289A">
        <w:rPr>
          <w:rFonts w:ascii="Calibri" w:hAnsi="Calibri"/>
          <w:bCs/>
          <w:color w:val="000000"/>
          <w:sz w:val="22"/>
          <w:szCs w:val="22"/>
        </w:rPr>
        <w:t>243</w:t>
      </w:r>
      <w:r w:rsidR="00A40048">
        <w:rPr>
          <w:rFonts w:ascii="Calibri" w:hAnsi="Calibri"/>
          <w:bCs/>
          <w:color w:val="000000"/>
          <w:sz w:val="22"/>
          <w:szCs w:val="22"/>
        </w:rPr>
        <w:t>.</w:t>
      </w:r>
      <w:r w:rsidR="0032289A">
        <w:rPr>
          <w:rFonts w:ascii="Calibri" w:hAnsi="Calibri"/>
          <w:bCs/>
          <w:color w:val="000000"/>
          <w:sz w:val="22"/>
          <w:szCs w:val="22"/>
        </w:rPr>
        <w:t>397</w:t>
      </w:r>
      <w:r w:rsidRPr="006D0922">
        <w:rPr>
          <w:rFonts w:ascii="Calibri" w:hAnsi="Calibri"/>
          <w:bCs/>
          <w:color w:val="000000"/>
          <w:sz w:val="22"/>
          <w:szCs w:val="22"/>
        </w:rPr>
        <w:t>,</w:t>
      </w:r>
      <w:r w:rsidR="0032289A">
        <w:rPr>
          <w:rFonts w:ascii="Calibri" w:hAnsi="Calibri"/>
          <w:bCs/>
          <w:color w:val="000000"/>
          <w:sz w:val="22"/>
          <w:szCs w:val="22"/>
        </w:rPr>
        <w:t>2</w:t>
      </w:r>
      <w:r w:rsidR="00A40048">
        <w:rPr>
          <w:rFonts w:ascii="Calibri" w:hAnsi="Calibri"/>
          <w:bCs/>
          <w:color w:val="000000"/>
          <w:sz w:val="22"/>
          <w:szCs w:val="22"/>
        </w:rPr>
        <w:t>2</w:t>
      </w:r>
      <w:r w:rsidRPr="006D0922">
        <w:rPr>
          <w:rFonts w:ascii="Calibri" w:hAnsi="Calibri"/>
          <w:bCs/>
          <w:color w:val="000000"/>
          <w:sz w:val="22"/>
          <w:szCs w:val="22"/>
        </w:rPr>
        <w:t xml:space="preserve"> KM</w:t>
      </w:r>
      <w:r w:rsidR="007B62FC">
        <w:rPr>
          <w:rFonts w:ascii="Calibri" w:hAnsi="Calibri" w:cs="Calibri"/>
        </w:rPr>
        <w:t xml:space="preserve">. </w:t>
      </w:r>
    </w:p>
    <w:p w:rsidR="00A52BAE" w:rsidRDefault="00A52BAE" w:rsidP="00D03DA0">
      <w:pPr>
        <w:jc w:val="both"/>
        <w:rPr>
          <w:rFonts w:ascii="Calibri" w:hAnsi="Calibri" w:cs="Calibri"/>
        </w:rPr>
      </w:pPr>
    </w:p>
    <w:p w:rsidR="007E20C7" w:rsidRPr="004A5A09" w:rsidRDefault="007E20C7" w:rsidP="007E20C7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 w:rsidR="00CA0093">
        <w:rPr>
          <w:rFonts w:ascii="Calibri" w:hAnsi="Calibri" w:cs="Calibri"/>
        </w:rPr>
        <w:t>2</w:t>
      </w:r>
      <w:r w:rsidRPr="004A5A09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Prodaja hov</w:t>
      </w:r>
    </w:p>
    <w:p w:rsidR="007E20C7" w:rsidRDefault="007E20C7" w:rsidP="00D03DA0">
      <w:pPr>
        <w:jc w:val="both"/>
        <w:rPr>
          <w:rFonts w:ascii="Calibri" w:hAnsi="Calibri" w:cs="Calibri"/>
        </w:rPr>
      </w:pPr>
    </w:p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5610"/>
        <w:gridCol w:w="1776"/>
        <w:gridCol w:w="1989"/>
      </w:tblGrid>
      <w:tr w:rsidR="00C80A19" w:rsidTr="00BD3C85">
        <w:trPr>
          <w:trHeight w:val="321"/>
        </w:trPr>
        <w:tc>
          <w:tcPr>
            <w:tcW w:w="561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C80A19" w:rsidRDefault="00C80A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Naziv emitenta</w:t>
            </w:r>
          </w:p>
        </w:tc>
        <w:tc>
          <w:tcPr>
            <w:tcW w:w="1776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C80A19" w:rsidRDefault="00C80A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Broj prodanih HOV</w:t>
            </w:r>
          </w:p>
        </w:tc>
        <w:tc>
          <w:tcPr>
            <w:tcW w:w="198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000000" w:fill="DAEEF3"/>
            <w:vAlign w:val="center"/>
            <w:hideMark/>
          </w:tcPr>
          <w:p w:rsidR="00C80A19" w:rsidRDefault="00C80A1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Vrijednost</w:t>
            </w:r>
          </w:p>
        </w:tc>
      </w:tr>
      <w:tr w:rsidR="00C80A19" w:rsidTr="00BD3C85">
        <w:trPr>
          <w:trHeight w:val="251"/>
        </w:trPr>
        <w:tc>
          <w:tcPr>
            <w:tcW w:w="56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AC51B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TUI </w:t>
            </w:r>
            <w:r w:rsidR="001F2462">
              <w:rPr>
                <w:rFonts w:ascii="Calibri" w:hAnsi="Calibri"/>
                <w:color w:val="000000"/>
                <w:sz w:val="22"/>
                <w:szCs w:val="22"/>
              </w:rPr>
              <w:t>AG Hannover</w:t>
            </w:r>
          </w:p>
        </w:tc>
        <w:tc>
          <w:tcPr>
            <w:tcW w:w="17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AC51B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1BB">
              <w:rPr>
                <w:rFonts w:ascii="Calibri" w:hAnsi="Calibri"/>
                <w:color w:val="000000"/>
                <w:sz w:val="22"/>
                <w:szCs w:val="22"/>
              </w:rPr>
              <w:t>65.400</w:t>
            </w:r>
          </w:p>
        </w:tc>
        <w:tc>
          <w:tcPr>
            <w:tcW w:w="198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C80A19" w:rsidRDefault="00AC51BB" w:rsidP="00AC51B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581</w:t>
            </w:r>
            <w:r w:rsidR="001F2462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996</w:t>
            </w:r>
            <w:r w:rsidR="001F2462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  <w:r w:rsidR="001F2462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C80A19">
              <w:rPr>
                <w:rFonts w:ascii="Calibri" w:hAnsi="Calibri"/>
                <w:color w:val="000000"/>
                <w:sz w:val="22"/>
                <w:szCs w:val="22"/>
              </w:rPr>
              <w:t>KM</w:t>
            </w:r>
          </w:p>
        </w:tc>
      </w:tr>
      <w:tr w:rsidR="00872107" w:rsidTr="00BD3C85">
        <w:trPr>
          <w:trHeight w:val="251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AC51B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1BB">
              <w:rPr>
                <w:rFonts w:ascii="Calibri" w:hAnsi="Calibri"/>
                <w:color w:val="000000"/>
                <w:sz w:val="22"/>
                <w:szCs w:val="22"/>
              </w:rPr>
              <w:t>Citigroup Inc. New York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AC51B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3.500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A52BAE" w:rsidP="001F24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426.066,32 KM</w:t>
            </w:r>
          </w:p>
        </w:tc>
      </w:tr>
      <w:tr w:rsidR="00872107" w:rsidTr="00BD3C85">
        <w:trPr>
          <w:trHeight w:val="251"/>
        </w:trPr>
        <w:tc>
          <w:tcPr>
            <w:tcW w:w="56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2107" w:rsidRDefault="00AC51B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1BB">
              <w:rPr>
                <w:rFonts w:ascii="Calibri" w:hAnsi="Calibri"/>
                <w:color w:val="000000"/>
                <w:sz w:val="22"/>
                <w:szCs w:val="22"/>
              </w:rPr>
              <w:t>Xpeng Inc</w:t>
            </w:r>
          </w:p>
        </w:tc>
        <w:tc>
          <w:tcPr>
            <w:tcW w:w="17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2107" w:rsidRDefault="00AC51B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AC51BB">
              <w:rPr>
                <w:rFonts w:ascii="Calibri" w:hAnsi="Calibri"/>
                <w:color w:val="000000"/>
                <w:sz w:val="22"/>
                <w:szCs w:val="22"/>
              </w:rPr>
              <w:t>4.700</w:t>
            </w:r>
          </w:p>
        </w:tc>
        <w:tc>
          <w:tcPr>
            <w:tcW w:w="198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2107" w:rsidRDefault="00A52BAE" w:rsidP="001F24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274.400,12 KM</w:t>
            </w:r>
          </w:p>
        </w:tc>
      </w:tr>
      <w:tr w:rsidR="00872107" w:rsidTr="00BD3C85">
        <w:trPr>
          <w:trHeight w:val="251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AC51B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Krka d.d. Novo Mesto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1924D9" w:rsidP="001924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  <w:r w:rsidR="00AC51B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1924D9" w:rsidP="001924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AC51B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450</w:t>
            </w:r>
            <w:r w:rsidR="00AC51BB">
              <w:rPr>
                <w:rFonts w:ascii="Calibri" w:hAnsi="Calibri"/>
                <w:color w:val="000000"/>
                <w:sz w:val="22"/>
                <w:szCs w:val="22"/>
              </w:rPr>
              <w:t>.9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 w:rsidR="00AC51BB">
              <w:rPr>
                <w:rFonts w:ascii="Calibri" w:hAnsi="Calibri"/>
                <w:color w:val="000000"/>
                <w:sz w:val="22"/>
                <w:szCs w:val="22"/>
              </w:rPr>
              <w:t>3,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  <w:r w:rsidR="00AC51BB">
              <w:rPr>
                <w:rFonts w:ascii="Calibri" w:hAnsi="Calibri"/>
                <w:color w:val="000000"/>
                <w:sz w:val="22"/>
                <w:szCs w:val="22"/>
              </w:rPr>
              <w:t>4 KM</w:t>
            </w:r>
          </w:p>
        </w:tc>
      </w:tr>
      <w:tr w:rsidR="00872107" w:rsidTr="00BD3C85">
        <w:trPr>
          <w:trHeight w:val="251"/>
        </w:trPr>
        <w:tc>
          <w:tcPr>
            <w:tcW w:w="56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2107" w:rsidRDefault="00AC51B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NLB d.d. Ljubljana</w:t>
            </w:r>
          </w:p>
        </w:tc>
        <w:tc>
          <w:tcPr>
            <w:tcW w:w="17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2107" w:rsidRDefault="00AC51B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4.984</w:t>
            </w:r>
          </w:p>
        </w:tc>
        <w:tc>
          <w:tcPr>
            <w:tcW w:w="198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72107" w:rsidRDefault="00AC51BB" w:rsidP="001F24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464.528,40 KM</w:t>
            </w:r>
          </w:p>
        </w:tc>
      </w:tr>
      <w:tr w:rsidR="00872107" w:rsidTr="00BD3C85">
        <w:trPr>
          <w:trHeight w:val="251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AC51B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Telekom Srpske a.d. Banja Luka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1924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675.596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:rsidR="00872107" w:rsidRDefault="001924D9" w:rsidP="001924D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705</w:t>
            </w:r>
            <w:r w:rsidR="00AC51BB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681</w:t>
            </w:r>
            <w:r w:rsidR="00AC51BB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  <w:r w:rsidR="00AC51BB">
              <w:rPr>
                <w:rFonts w:ascii="Calibri" w:hAnsi="Calibri"/>
                <w:color w:val="000000"/>
                <w:sz w:val="22"/>
                <w:szCs w:val="22"/>
              </w:rPr>
              <w:t>8 KM</w:t>
            </w:r>
          </w:p>
        </w:tc>
      </w:tr>
      <w:tr w:rsidR="00872107" w:rsidTr="00BD3C85">
        <w:trPr>
          <w:trHeight w:val="251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107" w:rsidRDefault="00AC51BB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Banja Vrućica a.d. Teslić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107" w:rsidRDefault="00AC51B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3.360.017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2107" w:rsidRDefault="00AC51BB" w:rsidP="001F24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4.872.024,65 KM</w:t>
            </w:r>
          </w:p>
        </w:tc>
      </w:tr>
      <w:tr w:rsidR="00BD3C85" w:rsidTr="00BD3C85">
        <w:trPr>
          <w:trHeight w:val="251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BD3C85" w:rsidRDefault="00BD3C8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3C85">
              <w:rPr>
                <w:rFonts w:ascii="Calibri" w:hAnsi="Calibri"/>
                <w:color w:val="000000"/>
                <w:sz w:val="22"/>
                <w:szCs w:val="22"/>
              </w:rPr>
              <w:t>Hugo Boss AG Metzingen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BD3C85" w:rsidRDefault="00BD3C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6.000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BD3C85" w:rsidRDefault="00BD3C85" w:rsidP="001F24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422.459,28 KM</w:t>
            </w:r>
          </w:p>
        </w:tc>
      </w:tr>
      <w:tr w:rsidR="00BD3C85" w:rsidTr="00BD3C85">
        <w:trPr>
          <w:trHeight w:val="251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3C85" w:rsidRDefault="00BD3C8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3C85">
              <w:rPr>
                <w:rFonts w:ascii="Calibri" w:hAnsi="Calibri"/>
                <w:color w:val="000000"/>
                <w:sz w:val="22"/>
                <w:szCs w:val="22"/>
              </w:rPr>
              <w:t>Vonage Holdings Corp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3C85" w:rsidRDefault="00BD3C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14.000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3C85" w:rsidRDefault="00BD3C85" w:rsidP="001F24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300.300,00</w:t>
            </w:r>
          </w:p>
        </w:tc>
      </w:tr>
      <w:tr w:rsidR="00BD3C85" w:rsidTr="00BD3C85">
        <w:trPr>
          <w:trHeight w:val="251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BD3C85" w:rsidRDefault="00BD3C8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SAP SE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BD3C85" w:rsidRDefault="00BD3C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1.920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BD3C85" w:rsidRDefault="00BD3C85" w:rsidP="001F24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445.898,79 KM</w:t>
            </w:r>
          </w:p>
        </w:tc>
      </w:tr>
      <w:tr w:rsidR="00BD3C85" w:rsidTr="00BD3C85">
        <w:trPr>
          <w:trHeight w:val="251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3C85" w:rsidRDefault="00BD3C8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3C85">
              <w:rPr>
                <w:rFonts w:ascii="Calibri" w:hAnsi="Calibri"/>
                <w:color w:val="000000"/>
                <w:sz w:val="22"/>
                <w:szCs w:val="22"/>
              </w:rPr>
              <w:t>Fresenius SE &amp; Co. KGaA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3C85" w:rsidRDefault="00BD3C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7.270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3C85" w:rsidRDefault="00BD3C85" w:rsidP="001F24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641.448,83 KM</w:t>
            </w:r>
          </w:p>
        </w:tc>
      </w:tr>
      <w:tr w:rsidR="00BD3C85" w:rsidTr="00BD3C85">
        <w:trPr>
          <w:trHeight w:val="251"/>
        </w:trPr>
        <w:tc>
          <w:tcPr>
            <w:tcW w:w="5610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BD3C85" w:rsidRDefault="00BD3C85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BD3C85">
              <w:rPr>
                <w:rFonts w:ascii="Calibri" w:hAnsi="Calibri"/>
                <w:color w:val="000000"/>
                <w:sz w:val="22"/>
                <w:szCs w:val="22"/>
              </w:rPr>
              <w:t>JinkoSolar Holding Co Ltd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BD3C85" w:rsidRDefault="00BD3C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10.100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DAEEF3"/>
            <w:vAlign w:val="center"/>
          </w:tcPr>
          <w:p w:rsidR="00BD3C85" w:rsidRDefault="00BD3C85" w:rsidP="001F246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927.964,90 KM</w:t>
            </w:r>
          </w:p>
        </w:tc>
      </w:tr>
      <w:tr w:rsidR="00C80A19" w:rsidTr="00BD3C85">
        <w:trPr>
          <w:trHeight w:val="262"/>
        </w:trPr>
        <w:tc>
          <w:tcPr>
            <w:tcW w:w="561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C80A19" w:rsidRDefault="00C80A19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C80A19" w:rsidRDefault="00C80A1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C80A19" w:rsidRDefault="00BD3C85" w:rsidP="00BD3C85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12</w:t>
            </w:r>
            <w:r w:rsidR="00A52BAE" w:rsidRPr="00A52BAE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513</w:t>
            </w:r>
            <w:r w:rsidR="00A52BAE" w:rsidRPr="00A52BAE">
              <w:rPr>
                <w:rFonts w:ascii="Calibri" w:hAnsi="Calibri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763</w:t>
            </w:r>
            <w:r w:rsidR="00A52BAE" w:rsidRPr="00A52BAE">
              <w:rPr>
                <w:rFonts w:ascii="Calibri" w:hAnsi="Calibri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</w:t>
            </w:r>
            <w:r w:rsidR="00A52BAE" w:rsidRPr="00A52BAE">
              <w:rPr>
                <w:rFonts w:ascii="Calibri" w:hAnsi="Calibri"/>
                <w:b/>
                <w:color w:val="000000"/>
                <w:sz w:val="22"/>
                <w:szCs w:val="22"/>
              </w:rPr>
              <w:t>4</w:t>
            </w:r>
            <w:r w:rsidR="00CA6B13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C80A1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KM</w:t>
            </w:r>
          </w:p>
        </w:tc>
      </w:tr>
    </w:tbl>
    <w:p w:rsidR="007E20C7" w:rsidRDefault="007E20C7" w:rsidP="00D03DA0">
      <w:pPr>
        <w:jc w:val="both"/>
        <w:rPr>
          <w:rFonts w:ascii="Calibri" w:hAnsi="Calibri" w:cs="Calibri"/>
        </w:rPr>
      </w:pPr>
    </w:p>
    <w:p w:rsidR="00A11E2D" w:rsidRDefault="001F3F6F" w:rsidP="00CA6B13">
      <w:pPr>
        <w:jc w:val="both"/>
        <w:rPr>
          <w:rFonts w:ascii="Calibri" w:hAnsi="Calibri" w:cs="Calibri"/>
        </w:rPr>
      </w:pPr>
      <w:r>
        <w:rPr>
          <w:rFonts w:asciiTheme="minorHAnsi" w:hAnsiTheme="minorHAnsi" w:cs="Calibri"/>
        </w:rPr>
        <w:t xml:space="preserve">U posmatranom </w:t>
      </w:r>
      <w:r w:rsidRPr="001F3F6F">
        <w:rPr>
          <w:rFonts w:asciiTheme="minorHAnsi" w:hAnsiTheme="minorHAnsi" w:cs="Calibri"/>
        </w:rPr>
        <w:t>izvještajnom periodu prodato je kompletno učešće emiten</w:t>
      </w:r>
      <w:r>
        <w:rPr>
          <w:rFonts w:asciiTheme="minorHAnsi" w:hAnsiTheme="minorHAnsi" w:cs="Calibri"/>
        </w:rPr>
        <w:t>a</w:t>
      </w:r>
      <w:r w:rsidRPr="001F3F6F">
        <w:rPr>
          <w:rFonts w:asciiTheme="minorHAnsi" w:hAnsiTheme="minorHAnsi" w:cs="Calibri"/>
        </w:rPr>
        <w:t>ta</w:t>
      </w:r>
      <w:r w:rsidRPr="001F3F6F">
        <w:t xml:space="preserve"> </w:t>
      </w:r>
      <w:r w:rsidRPr="001F3F6F">
        <w:rPr>
          <w:rFonts w:asciiTheme="minorHAnsi" w:hAnsiTheme="minorHAnsi" w:cs="Calibri"/>
        </w:rPr>
        <w:t>TUI AG Hannover</w:t>
      </w:r>
      <w:r>
        <w:rPr>
          <w:rFonts w:asciiTheme="minorHAnsi" w:hAnsiTheme="minorHAnsi" w:cs="Calibri"/>
        </w:rPr>
        <w:t>,</w:t>
      </w:r>
      <w:r w:rsidRPr="001F3F6F">
        <w:rPr>
          <w:rFonts w:asciiTheme="minorHAnsi" w:hAnsiTheme="minorHAnsi" w:cs="Calibri"/>
        </w:rPr>
        <w:t xml:space="preserve"> Citigroup Inc. New York</w:t>
      </w:r>
      <w:r>
        <w:rPr>
          <w:rFonts w:asciiTheme="minorHAnsi" w:hAnsiTheme="minorHAnsi" w:cs="Calibri"/>
        </w:rPr>
        <w:t>,</w:t>
      </w:r>
      <w:r w:rsidRPr="001F3F6F">
        <w:rPr>
          <w:rFonts w:asciiTheme="minorHAnsi" w:hAnsiTheme="minorHAnsi" w:cs="Calibri"/>
        </w:rPr>
        <w:t xml:space="preserve"> Xpeng Inc</w:t>
      </w:r>
      <w:r>
        <w:rPr>
          <w:rFonts w:asciiTheme="minorHAnsi" w:hAnsiTheme="minorHAnsi" w:cs="Calibri"/>
        </w:rPr>
        <w:t>,</w:t>
      </w:r>
      <w:r w:rsidRPr="001F3F6F">
        <w:rPr>
          <w:rFonts w:asciiTheme="minorHAnsi" w:hAnsiTheme="minorHAnsi" w:cs="Calibri"/>
        </w:rPr>
        <w:t xml:space="preserve"> NLB d.d. Ljubljana</w:t>
      </w:r>
      <w:r w:rsidR="0032289A">
        <w:rPr>
          <w:rFonts w:asciiTheme="minorHAnsi" w:hAnsiTheme="minorHAnsi" w:cs="Calibri"/>
        </w:rPr>
        <w:t>,</w:t>
      </w:r>
      <w:r w:rsidR="0032289A" w:rsidRPr="0032289A">
        <w:rPr>
          <w:rFonts w:asciiTheme="minorHAnsi" w:hAnsiTheme="minorHAnsi" w:cs="Calibri"/>
        </w:rPr>
        <w:t xml:space="preserve"> </w:t>
      </w:r>
      <w:r w:rsidR="0032289A" w:rsidRPr="001F3F6F">
        <w:rPr>
          <w:rFonts w:asciiTheme="minorHAnsi" w:hAnsiTheme="minorHAnsi" w:cs="Calibri"/>
        </w:rPr>
        <w:t>Krka d.d</w:t>
      </w:r>
      <w:r>
        <w:rPr>
          <w:rFonts w:asciiTheme="minorHAnsi" w:hAnsiTheme="minorHAnsi" w:cs="Calibri"/>
        </w:rPr>
        <w:t xml:space="preserve"> </w:t>
      </w:r>
      <w:r w:rsidR="0032289A">
        <w:rPr>
          <w:rFonts w:asciiTheme="minorHAnsi" w:hAnsiTheme="minorHAnsi" w:cs="Calibri"/>
        </w:rPr>
        <w:t xml:space="preserve">Novo Mesto, Hugo Boss AG Metzingen, Vonage Holdings Corp, SAP SE, </w:t>
      </w:r>
      <w:r w:rsidR="0032289A" w:rsidRPr="0032289A">
        <w:rPr>
          <w:rFonts w:asciiTheme="minorHAnsi" w:hAnsiTheme="minorHAnsi" w:cs="Calibri"/>
        </w:rPr>
        <w:t xml:space="preserve">Fresenius SE &amp; Co. KGaA </w:t>
      </w:r>
      <w:r w:rsidR="0032289A">
        <w:rPr>
          <w:rFonts w:asciiTheme="minorHAnsi" w:hAnsiTheme="minorHAnsi" w:cs="Calibri"/>
        </w:rPr>
        <w:t>,</w:t>
      </w:r>
      <w:r w:rsidR="0032289A" w:rsidRPr="0032289A">
        <w:t xml:space="preserve"> </w:t>
      </w:r>
      <w:r w:rsidR="0032289A" w:rsidRPr="0032289A">
        <w:rPr>
          <w:rFonts w:asciiTheme="minorHAnsi" w:hAnsiTheme="minorHAnsi" w:cs="Calibri"/>
        </w:rPr>
        <w:lastRenderedPageBreak/>
        <w:t>JinkoSolar Holding Co Ltd</w:t>
      </w:r>
      <w:r w:rsidR="0032289A">
        <w:rPr>
          <w:rFonts w:asciiTheme="minorHAnsi" w:hAnsiTheme="minorHAnsi" w:cs="Calibri"/>
        </w:rPr>
        <w:t xml:space="preserve"> </w:t>
      </w:r>
      <w:r w:rsidRPr="001F3F6F">
        <w:rPr>
          <w:rFonts w:asciiTheme="minorHAnsi" w:hAnsiTheme="minorHAnsi" w:cs="Calibri"/>
        </w:rPr>
        <w:t xml:space="preserve">i Banja Vrućica a.d. Teslić </w:t>
      </w:r>
      <w:r>
        <w:rPr>
          <w:rFonts w:asciiTheme="minorHAnsi" w:hAnsiTheme="minorHAnsi" w:cs="Calibri"/>
        </w:rPr>
        <w:t>dok je smanjeno</w:t>
      </w:r>
      <w:r w:rsidR="0032289A">
        <w:rPr>
          <w:rFonts w:asciiTheme="minorHAnsi" w:hAnsiTheme="minorHAnsi" w:cs="Calibri"/>
        </w:rPr>
        <w:t xml:space="preserve"> učešće u vlasništvu kod emiten</w:t>
      </w:r>
      <w:r>
        <w:rPr>
          <w:rFonts w:asciiTheme="minorHAnsi" w:hAnsiTheme="minorHAnsi" w:cs="Calibri"/>
        </w:rPr>
        <w:t xml:space="preserve">ta </w:t>
      </w:r>
      <w:r w:rsidRPr="001F3F6F">
        <w:rPr>
          <w:rFonts w:asciiTheme="minorHAnsi" w:hAnsiTheme="minorHAnsi" w:cs="Calibri"/>
        </w:rPr>
        <w:t>Telekom Srpske a.d. Banja Luka</w:t>
      </w:r>
      <w:r w:rsidR="0032289A">
        <w:rPr>
          <w:rFonts w:asciiTheme="minorHAnsi" w:hAnsiTheme="minorHAnsi" w:cs="Calibri"/>
        </w:rPr>
        <w:t>.</w:t>
      </w:r>
      <w:r w:rsidRPr="001F3F6F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Sve prodajne odluke su donesene na osno</w:t>
      </w:r>
      <w:r w:rsidR="007E4382">
        <w:rPr>
          <w:rFonts w:asciiTheme="minorHAnsi" w:hAnsiTheme="minorHAnsi" w:cs="Calibri"/>
        </w:rPr>
        <w:t>vu rasta cijena akcija na tržišt</w:t>
      </w:r>
      <w:r>
        <w:rPr>
          <w:rFonts w:asciiTheme="minorHAnsi" w:hAnsiTheme="minorHAnsi" w:cs="Calibri"/>
        </w:rPr>
        <w:t>u navedenih emitenata i realizacije kapitalnih dobitaka osim za emitenta Telekom Srpske a.d. Banja Luka gdje je izloženost u portfelju prema navedenom emitentu značajna te se prodaje vrše zbog smanjenja izloženosti prema navedenom emitentu.</w:t>
      </w:r>
      <w:r w:rsidRPr="001F3F6F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 xml:space="preserve">Po </w:t>
      </w:r>
      <w:r w:rsidRPr="001F3F6F">
        <w:rPr>
          <w:rFonts w:asciiTheme="minorHAnsi" w:hAnsiTheme="minorHAnsi" w:cs="Calibri"/>
        </w:rPr>
        <w:t xml:space="preserve">osnovu </w:t>
      </w:r>
      <w:r>
        <w:rPr>
          <w:rFonts w:asciiTheme="minorHAnsi" w:hAnsiTheme="minorHAnsi" w:cs="Calibri"/>
        </w:rPr>
        <w:t xml:space="preserve">navedenih prodaja u posmatranom periodu </w:t>
      </w:r>
      <w:r w:rsidRPr="001F3F6F">
        <w:rPr>
          <w:rFonts w:asciiTheme="minorHAnsi" w:hAnsiTheme="minorHAnsi" w:cs="Calibri"/>
        </w:rPr>
        <w:t xml:space="preserve">prihodovano </w:t>
      </w:r>
      <w:r>
        <w:rPr>
          <w:rFonts w:asciiTheme="minorHAnsi" w:hAnsiTheme="minorHAnsi" w:cs="Calibri"/>
        </w:rPr>
        <w:t xml:space="preserve">je ukupno </w:t>
      </w:r>
      <w:r w:rsidR="0032289A">
        <w:rPr>
          <w:rFonts w:asciiTheme="minorHAnsi" w:hAnsiTheme="minorHAnsi" w:cs="Calibri"/>
        </w:rPr>
        <w:t xml:space="preserve">12.513.763 </w:t>
      </w:r>
      <w:r w:rsidRPr="001F3F6F">
        <w:rPr>
          <w:rFonts w:asciiTheme="minorHAnsi" w:hAnsiTheme="minorHAnsi" w:cs="Calibri"/>
        </w:rPr>
        <w:t>KM</w:t>
      </w:r>
      <w:r w:rsidR="0032289A">
        <w:rPr>
          <w:rFonts w:asciiTheme="minorHAnsi" w:hAnsiTheme="minorHAnsi" w:cs="Calibri"/>
        </w:rPr>
        <w:t>.</w:t>
      </w:r>
    </w:p>
    <w:p w:rsidR="00CE1927" w:rsidRPr="00AE32AD" w:rsidRDefault="00CE1927" w:rsidP="00D03DA0">
      <w:pPr>
        <w:jc w:val="both"/>
        <w:rPr>
          <w:rFonts w:ascii="Calibri" w:hAnsi="Calibri" w:cs="Calibri"/>
          <w:i/>
        </w:rPr>
      </w:pPr>
    </w:p>
    <w:p w:rsidR="00D5368A" w:rsidRPr="00D5368A" w:rsidRDefault="00D5368A" w:rsidP="00D5368A">
      <w:pPr>
        <w:numPr>
          <w:ilvl w:val="0"/>
          <w:numId w:val="7"/>
        </w:numPr>
        <w:jc w:val="both"/>
        <w:rPr>
          <w:rFonts w:ascii="Calibri" w:hAnsi="Calibri" w:cs="Calibri"/>
          <w:b/>
        </w:rPr>
      </w:pPr>
      <w:r w:rsidRPr="00D5368A">
        <w:rPr>
          <w:rFonts w:ascii="Calibri" w:hAnsi="Calibri" w:cs="Calibri"/>
          <w:b/>
        </w:rPr>
        <w:t xml:space="preserve">Kretanje vrijednosti neto </w:t>
      </w:r>
      <w:r>
        <w:rPr>
          <w:rFonts w:ascii="Calibri" w:hAnsi="Calibri" w:cs="Calibri"/>
          <w:b/>
        </w:rPr>
        <w:t>imovine</w:t>
      </w:r>
    </w:p>
    <w:p w:rsidR="00F9026C" w:rsidRPr="00686446" w:rsidRDefault="00F9026C" w:rsidP="00AF7176">
      <w:pPr>
        <w:jc w:val="both"/>
        <w:rPr>
          <w:rFonts w:ascii="Calibri" w:hAnsi="Calibri" w:cs="Calibri"/>
          <w:lang w:val="en-US"/>
        </w:rPr>
      </w:pPr>
    </w:p>
    <w:p w:rsidR="00487003" w:rsidRDefault="00985192" w:rsidP="00985192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Kretanje vrijednosti neto imovine Fonda i vrijednosti udjela u </w:t>
      </w:r>
      <w:r w:rsidR="00BA26AA">
        <w:rPr>
          <w:rFonts w:ascii="Calibri" w:hAnsi="Calibri" w:cs="Calibri"/>
          <w:lang w:val="en-US"/>
        </w:rPr>
        <w:t>izvještajnom periodu</w:t>
      </w:r>
      <w:r>
        <w:rPr>
          <w:rFonts w:ascii="Calibri" w:hAnsi="Calibri" w:cs="Calibri"/>
          <w:lang w:val="en-US"/>
        </w:rPr>
        <w:t>:</w:t>
      </w:r>
    </w:p>
    <w:p w:rsidR="00E3031B" w:rsidRPr="00930DFE" w:rsidRDefault="00E3031B" w:rsidP="00930DFE">
      <w:pPr>
        <w:jc w:val="center"/>
        <w:rPr>
          <w:noProof/>
          <w:lang w:val="en-US"/>
        </w:rPr>
      </w:pPr>
    </w:p>
    <w:tbl>
      <w:tblPr>
        <w:tblW w:w="8250" w:type="dxa"/>
        <w:tblInd w:w="108" w:type="dxa"/>
        <w:tblLook w:val="04A0" w:firstRow="1" w:lastRow="0" w:firstColumn="1" w:lastColumn="0" w:noHBand="0" w:noVBand="1"/>
      </w:tblPr>
      <w:tblGrid>
        <w:gridCol w:w="3629"/>
        <w:gridCol w:w="2750"/>
        <w:gridCol w:w="1871"/>
      </w:tblGrid>
      <w:tr w:rsidR="00F40503" w:rsidTr="00F40503">
        <w:trPr>
          <w:trHeight w:val="311"/>
        </w:trPr>
        <w:tc>
          <w:tcPr>
            <w:tcW w:w="3629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F40503" w:rsidRDefault="00F405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275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F40503" w:rsidRDefault="00F405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Neto vrijednost imovine</w:t>
            </w:r>
          </w:p>
        </w:tc>
        <w:tc>
          <w:tcPr>
            <w:tcW w:w="1871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NVI po udjelu</w:t>
            </w:r>
          </w:p>
        </w:tc>
      </w:tr>
      <w:tr w:rsidR="00F40503" w:rsidTr="00F40503">
        <w:trPr>
          <w:trHeight w:val="296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F40503" w:rsidRDefault="00F40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57.599.571,29 KM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12,1203 KM</w:t>
            </w:r>
          </w:p>
        </w:tc>
      </w:tr>
      <w:tr w:rsidR="00F40503" w:rsidTr="00F40503">
        <w:trPr>
          <w:trHeight w:val="311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503" w:rsidRDefault="00F40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31.01.2021.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57.646.681,23 KM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12,1399 KM</w:t>
            </w:r>
          </w:p>
        </w:tc>
      </w:tr>
      <w:tr w:rsidR="00F40503" w:rsidTr="00F40503">
        <w:trPr>
          <w:trHeight w:val="296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F40503" w:rsidRDefault="00F40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28.02.2021.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57.853.772,03 KM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12,2068 KM</w:t>
            </w:r>
          </w:p>
        </w:tc>
      </w:tr>
      <w:tr w:rsidR="00F40503" w:rsidTr="00F40503">
        <w:trPr>
          <w:trHeight w:val="296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503" w:rsidRDefault="00F40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31.03.2021.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52.508.487,69 KM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12,2310 KM</w:t>
            </w:r>
          </w:p>
        </w:tc>
      </w:tr>
      <w:tr w:rsidR="00F40503" w:rsidTr="00F40503">
        <w:trPr>
          <w:trHeight w:val="296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F40503" w:rsidRDefault="00F40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30.04.2021.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52.526.073,58 KM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12,2471 KM</w:t>
            </w:r>
          </w:p>
        </w:tc>
      </w:tr>
      <w:tr w:rsidR="00F40503" w:rsidTr="00F40503">
        <w:trPr>
          <w:trHeight w:val="296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0503" w:rsidRDefault="00F40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31.05.2021.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53.138.555,49 KM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12,3975 KM</w:t>
            </w:r>
          </w:p>
        </w:tc>
      </w:tr>
      <w:tr w:rsidR="00F40503" w:rsidTr="00F40503">
        <w:trPr>
          <w:trHeight w:val="296"/>
        </w:trPr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vAlign w:val="center"/>
            <w:hideMark/>
          </w:tcPr>
          <w:p w:rsidR="00F40503" w:rsidRDefault="00F40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30.06.2021.</w:t>
            </w: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54.079.302,77 KM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12,6362 KM</w:t>
            </w:r>
          </w:p>
        </w:tc>
      </w:tr>
      <w:tr w:rsidR="00F40503" w:rsidTr="00F40503">
        <w:trPr>
          <w:trHeight w:val="311"/>
        </w:trPr>
        <w:tc>
          <w:tcPr>
            <w:tcW w:w="3629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F40503" w:rsidRDefault="00F405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Promjena u 2021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-6,11%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4,26%</w:t>
            </w:r>
          </w:p>
        </w:tc>
      </w:tr>
    </w:tbl>
    <w:p w:rsidR="00BA26AA" w:rsidRDefault="005B6F3D" w:rsidP="00301296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br w:type="textWrapping" w:clear="all"/>
      </w:r>
    </w:p>
    <w:p w:rsidR="007035B0" w:rsidRDefault="00094D34" w:rsidP="0032289A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Neto vrijednost imovine Fonda </w:t>
      </w:r>
      <w:r w:rsidR="0032289A">
        <w:rPr>
          <w:rFonts w:ascii="Calibri" w:hAnsi="Calibri" w:cs="Calibri"/>
          <w:lang w:val="en-US"/>
        </w:rPr>
        <w:t xml:space="preserve">u prvom polugodištu </w:t>
      </w:r>
      <w:r w:rsidR="00E1634A">
        <w:rPr>
          <w:rFonts w:ascii="Calibri" w:hAnsi="Calibri" w:cs="Calibri"/>
          <w:lang w:val="en-US"/>
        </w:rPr>
        <w:t>teku</w:t>
      </w:r>
      <w:r w:rsidR="00E1634A">
        <w:rPr>
          <w:rFonts w:ascii="Calibri" w:hAnsi="Calibri" w:cs="Calibri"/>
        </w:rPr>
        <w:t xml:space="preserve">će godine </w:t>
      </w:r>
      <w:r w:rsidR="00FC0240">
        <w:rPr>
          <w:rFonts w:ascii="Calibri" w:hAnsi="Calibri" w:cs="Calibri"/>
          <w:lang w:val="en-US"/>
        </w:rPr>
        <w:t>ostvari</w:t>
      </w:r>
      <w:r w:rsidR="00BB3E5C">
        <w:rPr>
          <w:rFonts w:ascii="Calibri" w:hAnsi="Calibri" w:cs="Calibri"/>
          <w:lang w:val="en-US"/>
        </w:rPr>
        <w:t>l</w:t>
      </w:r>
      <w:r w:rsidR="007035B0">
        <w:rPr>
          <w:rFonts w:ascii="Calibri" w:hAnsi="Calibri" w:cs="Calibri"/>
          <w:lang w:val="en-US"/>
        </w:rPr>
        <w:t xml:space="preserve">a je </w:t>
      </w:r>
      <w:r w:rsidR="00CE1927">
        <w:rPr>
          <w:rFonts w:ascii="Calibri" w:hAnsi="Calibri" w:cs="Calibri"/>
          <w:lang w:val="en-US"/>
        </w:rPr>
        <w:t>pad</w:t>
      </w:r>
      <w:r w:rsidR="00FC0240">
        <w:rPr>
          <w:rFonts w:ascii="Calibri" w:hAnsi="Calibri" w:cs="Calibri"/>
          <w:lang w:val="en-US"/>
        </w:rPr>
        <w:t xml:space="preserve"> za </w:t>
      </w:r>
      <w:r w:rsidR="0032289A">
        <w:rPr>
          <w:rFonts w:ascii="Calibri" w:hAnsi="Calibri" w:cs="Calibri"/>
          <w:lang w:val="en-US"/>
        </w:rPr>
        <w:t>6</w:t>
      </w:r>
      <w:r w:rsidR="00BF4E58">
        <w:rPr>
          <w:rFonts w:ascii="Calibri" w:hAnsi="Calibri" w:cs="Calibri"/>
          <w:lang w:val="en-US"/>
        </w:rPr>
        <w:t>,</w:t>
      </w:r>
      <w:r w:rsidR="0032289A">
        <w:rPr>
          <w:rFonts w:ascii="Calibri" w:hAnsi="Calibri" w:cs="Calibri"/>
          <w:lang w:val="en-US"/>
        </w:rPr>
        <w:t>11</w:t>
      </w:r>
      <w:r w:rsidR="007035B0">
        <w:rPr>
          <w:rFonts w:ascii="Calibri" w:hAnsi="Calibri" w:cs="Calibri"/>
          <w:lang w:val="en-US"/>
        </w:rPr>
        <w:t xml:space="preserve">%. </w:t>
      </w:r>
      <w:r w:rsidR="001F6D3E">
        <w:rPr>
          <w:rFonts w:ascii="Calibri" w:hAnsi="Calibri" w:cs="Calibri"/>
          <w:lang w:val="en-US"/>
        </w:rPr>
        <w:t>Pad</w:t>
      </w:r>
      <w:r w:rsidR="00A76276">
        <w:rPr>
          <w:rFonts w:ascii="Calibri" w:hAnsi="Calibri" w:cs="Calibri"/>
          <w:lang w:val="en-US"/>
        </w:rPr>
        <w:t xml:space="preserve"> neto v</w:t>
      </w:r>
      <w:r w:rsidR="007035B0">
        <w:rPr>
          <w:rFonts w:ascii="Calibri" w:hAnsi="Calibri" w:cs="Calibri"/>
          <w:lang w:val="en-US"/>
        </w:rPr>
        <w:t xml:space="preserve">rijednosti imovine je </w:t>
      </w:r>
      <w:r w:rsidR="00BF4E58">
        <w:rPr>
          <w:rFonts w:ascii="Calibri" w:hAnsi="Calibri" w:cs="Calibri"/>
          <w:lang w:val="en-US"/>
        </w:rPr>
        <w:t>najvećim dijelom</w:t>
      </w:r>
      <w:r w:rsidR="001F6D3E">
        <w:rPr>
          <w:rFonts w:ascii="Calibri" w:hAnsi="Calibri" w:cs="Calibri"/>
          <w:lang w:val="en-US"/>
        </w:rPr>
        <w:t xml:space="preserve"> posljedica</w:t>
      </w:r>
      <w:r w:rsidR="006D0922">
        <w:rPr>
          <w:rFonts w:ascii="Calibri" w:hAnsi="Calibri" w:cs="Calibri"/>
          <w:lang w:val="en-US"/>
        </w:rPr>
        <w:t xml:space="preserve"> </w:t>
      </w:r>
      <w:r w:rsidR="00CE1927">
        <w:rPr>
          <w:rFonts w:ascii="Calibri" w:hAnsi="Calibri" w:cs="Calibri"/>
          <w:lang w:val="en-US"/>
        </w:rPr>
        <w:t>isplata po osnovu otkupa udjela.</w:t>
      </w:r>
    </w:p>
    <w:p w:rsidR="008F6DA5" w:rsidRDefault="00BF4E58" w:rsidP="00301296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U</w:t>
      </w:r>
      <w:r w:rsidR="00A76276">
        <w:rPr>
          <w:rFonts w:ascii="Calibri" w:hAnsi="Calibri" w:cs="Calibri"/>
          <w:lang w:val="en-US"/>
        </w:rPr>
        <w:t xml:space="preserve"> izvještajno</w:t>
      </w:r>
      <w:r w:rsidR="007035B0">
        <w:rPr>
          <w:rFonts w:ascii="Calibri" w:hAnsi="Calibri" w:cs="Calibri"/>
          <w:lang w:val="en-US"/>
        </w:rPr>
        <w:t>m</w:t>
      </w:r>
      <w:r w:rsidR="00A76276">
        <w:rPr>
          <w:rFonts w:ascii="Calibri" w:hAnsi="Calibri" w:cs="Calibri"/>
          <w:lang w:val="en-US"/>
        </w:rPr>
        <w:t xml:space="preserve"> periodu </w:t>
      </w:r>
      <w:r w:rsidR="001F3F6F">
        <w:rPr>
          <w:rFonts w:ascii="Calibri" w:hAnsi="Calibri" w:cs="Calibri"/>
          <w:lang w:val="en-US"/>
        </w:rPr>
        <w:t>ostvaren je rast</w:t>
      </w:r>
      <w:r w:rsidR="00BB3E5C">
        <w:rPr>
          <w:rFonts w:ascii="Calibri" w:hAnsi="Calibri" w:cs="Calibri"/>
          <w:lang w:val="en-US"/>
        </w:rPr>
        <w:t xml:space="preserve"> neto vrijednosti imovine po udjel</w:t>
      </w:r>
      <w:r w:rsidR="00633A55">
        <w:rPr>
          <w:rFonts w:ascii="Calibri" w:hAnsi="Calibri" w:cs="Calibri"/>
          <w:lang w:val="en-US"/>
        </w:rPr>
        <w:t>u</w:t>
      </w:r>
      <w:r w:rsidR="00AF5FA2">
        <w:rPr>
          <w:rFonts w:ascii="Calibri" w:hAnsi="Calibri" w:cs="Calibri"/>
          <w:lang w:val="en-US"/>
        </w:rPr>
        <w:t>,</w:t>
      </w:r>
      <w:r w:rsidR="00633A55">
        <w:rPr>
          <w:rFonts w:ascii="Calibri" w:hAnsi="Calibri" w:cs="Calibri"/>
          <w:lang w:val="en-US"/>
        </w:rPr>
        <w:t xml:space="preserve"> koja je u odnos</w:t>
      </w:r>
      <w:r w:rsidR="001F3F6F">
        <w:rPr>
          <w:rFonts w:ascii="Calibri" w:hAnsi="Calibri" w:cs="Calibri"/>
          <w:lang w:val="en-US"/>
        </w:rPr>
        <w:t>u na 31.12.2020.</w:t>
      </w:r>
      <w:r w:rsidR="0032289A">
        <w:rPr>
          <w:rFonts w:ascii="Calibri" w:hAnsi="Calibri" w:cs="Calibri"/>
          <w:lang w:val="en-US"/>
        </w:rPr>
        <w:t xml:space="preserve"> </w:t>
      </w:r>
      <w:r w:rsidR="001F3F6F">
        <w:rPr>
          <w:rFonts w:ascii="Calibri" w:hAnsi="Calibri" w:cs="Calibri"/>
          <w:lang w:val="en-US"/>
        </w:rPr>
        <w:t>godine veća</w:t>
      </w:r>
      <w:r w:rsidR="0032289A">
        <w:rPr>
          <w:rFonts w:ascii="Calibri" w:hAnsi="Calibri" w:cs="Calibri"/>
          <w:lang w:val="en-US"/>
        </w:rPr>
        <w:t xml:space="preserve"> za 4</w:t>
      </w:r>
      <w:r w:rsidR="008F6DA5">
        <w:rPr>
          <w:rFonts w:ascii="Calibri" w:hAnsi="Calibri" w:cs="Calibri"/>
          <w:lang w:val="en-US"/>
        </w:rPr>
        <w:t>,</w:t>
      </w:r>
      <w:r w:rsidR="0032289A">
        <w:rPr>
          <w:rFonts w:ascii="Calibri" w:hAnsi="Calibri" w:cs="Calibri"/>
          <w:lang w:val="en-US"/>
        </w:rPr>
        <w:t>26</w:t>
      </w:r>
      <w:r w:rsidR="00BB3E5C">
        <w:rPr>
          <w:rFonts w:ascii="Calibri" w:hAnsi="Calibri" w:cs="Calibri"/>
          <w:lang w:val="en-US"/>
        </w:rPr>
        <w:t>%.</w:t>
      </w:r>
    </w:p>
    <w:p w:rsidR="00AF5FA2" w:rsidRDefault="00AF5FA2" w:rsidP="00301296">
      <w:pPr>
        <w:jc w:val="both"/>
        <w:rPr>
          <w:rFonts w:ascii="Calibri" w:hAnsi="Calibri" w:cs="Calibri"/>
          <w:lang w:val="en-US"/>
        </w:rPr>
      </w:pPr>
    </w:p>
    <w:p w:rsidR="00AF5FA2" w:rsidRDefault="00AF5FA2" w:rsidP="00301296">
      <w:pPr>
        <w:jc w:val="both"/>
        <w:rPr>
          <w:rFonts w:ascii="Calibri" w:hAnsi="Calibri" w:cs="Calibri"/>
          <w:lang w:val="en-US"/>
        </w:rPr>
      </w:pPr>
    </w:p>
    <w:p w:rsidR="004B52D9" w:rsidRPr="005114BB" w:rsidRDefault="00FB5BAE" w:rsidP="0081129B">
      <w:pPr>
        <w:numPr>
          <w:ilvl w:val="0"/>
          <w:numId w:val="7"/>
        </w:numPr>
        <w:ind w:right="-1299"/>
        <w:rPr>
          <w:rFonts w:ascii="Calibri" w:hAnsi="Calibri" w:cs="Calibri"/>
          <w:b/>
          <w:lang w:val="en-US"/>
        </w:rPr>
      </w:pPr>
      <w:r w:rsidRPr="005114BB">
        <w:rPr>
          <w:rFonts w:ascii="Calibri" w:hAnsi="Calibri" w:cs="Calibri"/>
          <w:b/>
          <w:lang w:val="en-US"/>
        </w:rPr>
        <w:t>Portfelj fond</w:t>
      </w:r>
      <w:r w:rsidR="004B52D9" w:rsidRPr="005114BB">
        <w:rPr>
          <w:rFonts w:ascii="Calibri" w:hAnsi="Calibri" w:cs="Calibri"/>
          <w:b/>
          <w:lang w:val="en-US"/>
        </w:rPr>
        <w:t>a</w:t>
      </w:r>
    </w:p>
    <w:p w:rsidR="00930DFE" w:rsidRDefault="00930DFE" w:rsidP="009A31A4">
      <w:pPr>
        <w:jc w:val="both"/>
        <w:rPr>
          <w:rFonts w:ascii="Calibri" w:hAnsi="Calibri" w:cs="Calibri"/>
        </w:rPr>
      </w:pPr>
    </w:p>
    <w:p w:rsidR="00831961" w:rsidRDefault="00E149D5">
      <w:pPr>
        <w:rPr>
          <w:rFonts w:ascii="Calibri" w:hAnsi="Calibri" w:cs="Calibri"/>
        </w:rPr>
      </w:pPr>
      <w:r>
        <w:rPr>
          <w:rFonts w:ascii="Calibri" w:hAnsi="Calibri" w:cs="Calibri"/>
        </w:rPr>
        <w:t>U narednoj tabeli prikazana je s</w:t>
      </w:r>
      <w:r w:rsidR="00930DFE">
        <w:rPr>
          <w:rFonts w:ascii="Calibri" w:hAnsi="Calibri" w:cs="Calibri"/>
        </w:rPr>
        <w:t xml:space="preserve">truktura </w:t>
      </w:r>
      <w:r>
        <w:rPr>
          <w:rFonts w:ascii="Calibri" w:hAnsi="Calibri" w:cs="Calibri"/>
        </w:rPr>
        <w:t xml:space="preserve">portfelja </w:t>
      </w:r>
      <w:r w:rsidR="00930DFE">
        <w:rPr>
          <w:rFonts w:ascii="Calibri" w:hAnsi="Calibri" w:cs="Calibri"/>
        </w:rPr>
        <w:t>po vrsti imovine:</w:t>
      </w:r>
    </w:p>
    <w:p w:rsidR="00930DFE" w:rsidRPr="00686446" w:rsidRDefault="00930DFE">
      <w:pPr>
        <w:rPr>
          <w:rFonts w:ascii="Calibri" w:hAnsi="Calibri" w:cs="Calibri"/>
        </w:rPr>
      </w:pPr>
    </w:p>
    <w:tbl>
      <w:tblPr>
        <w:tblW w:w="8879" w:type="dxa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3489"/>
        <w:gridCol w:w="2406"/>
        <w:gridCol w:w="2984"/>
      </w:tblGrid>
      <w:tr w:rsidR="00D6195D" w:rsidRPr="00AE696F" w:rsidTr="0032289A">
        <w:trPr>
          <w:trHeight w:val="396"/>
        </w:trPr>
        <w:tc>
          <w:tcPr>
            <w:tcW w:w="3489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  <w:hideMark/>
          </w:tcPr>
          <w:p w:rsidR="00D6195D" w:rsidRPr="001F6D3E" w:rsidRDefault="00D6195D" w:rsidP="00AE696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1F6D3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Vrsta ulaganja</w:t>
            </w:r>
          </w:p>
        </w:tc>
        <w:tc>
          <w:tcPr>
            <w:tcW w:w="2406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  <w:hideMark/>
          </w:tcPr>
          <w:p w:rsidR="00D6195D" w:rsidRPr="001F6D3E" w:rsidRDefault="00D6195D" w:rsidP="005114BB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1F6D3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Ukupna vrijednost na dan 3</w:t>
            </w:r>
            <w:r w:rsidR="00D3456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0</w:t>
            </w:r>
            <w:r w:rsidRPr="001F6D3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.</w:t>
            </w:r>
            <w:r w:rsidR="00D34565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06</w:t>
            </w:r>
            <w:r w:rsidR="00330C28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.2021</w:t>
            </w:r>
            <w:r w:rsidRPr="001F6D3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984" w:type="dxa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vAlign w:val="center"/>
            <w:hideMark/>
          </w:tcPr>
          <w:p w:rsidR="00D6195D" w:rsidRPr="001F6D3E" w:rsidRDefault="00D6195D" w:rsidP="00AE696F">
            <w:pPr>
              <w:jc w:val="center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1F6D3E"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  <w:t>Učešće u neto vrijednosti imovine fonda (%)</w:t>
            </w:r>
          </w:p>
        </w:tc>
      </w:tr>
      <w:tr w:rsidR="00D34565" w:rsidRPr="00AE696F" w:rsidTr="0032289A">
        <w:trPr>
          <w:trHeight w:val="233"/>
        </w:trPr>
        <w:tc>
          <w:tcPr>
            <w:tcW w:w="3489" w:type="dxa"/>
            <w:shd w:val="clear" w:color="auto" w:fill="D2EAF1"/>
            <w:vAlign w:val="bottom"/>
            <w:hideMark/>
          </w:tcPr>
          <w:p w:rsidR="00D34565" w:rsidRPr="001F6D3E" w:rsidRDefault="00D34565" w:rsidP="00D34565">
            <w:pPr>
              <w:rPr>
                <w:rFonts w:asciiTheme="minorHAnsi" w:hAnsiTheme="minorHAnsi"/>
                <w:sz w:val="22"/>
                <w:szCs w:val="22"/>
              </w:rPr>
            </w:pPr>
            <w:r w:rsidRPr="001F6D3E">
              <w:rPr>
                <w:rFonts w:asciiTheme="minorHAnsi" w:hAnsiTheme="minorHAnsi"/>
                <w:sz w:val="22"/>
                <w:szCs w:val="22"/>
              </w:rPr>
              <w:t>Gotovin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2406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D34565" w:rsidRPr="00D34565" w:rsidRDefault="00D34565" w:rsidP="00D345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34565">
              <w:rPr>
                <w:rFonts w:asciiTheme="minorHAnsi" w:hAnsiTheme="minorHAnsi" w:cstheme="minorHAnsi"/>
                <w:sz w:val="22"/>
                <w:szCs w:val="22"/>
              </w:rPr>
              <w:t>2.048.841,15</w:t>
            </w:r>
          </w:p>
        </w:tc>
        <w:tc>
          <w:tcPr>
            <w:tcW w:w="2984" w:type="dxa"/>
            <w:shd w:val="clear" w:color="auto" w:fill="D2EAF1"/>
            <w:noWrap/>
            <w:hideMark/>
          </w:tcPr>
          <w:p w:rsidR="00D34565" w:rsidRPr="00D34565" w:rsidRDefault="00D34565" w:rsidP="00D345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34565">
              <w:rPr>
                <w:rFonts w:asciiTheme="minorHAnsi" w:hAnsiTheme="minorHAnsi" w:cstheme="minorHAnsi"/>
                <w:sz w:val="22"/>
                <w:szCs w:val="22"/>
              </w:rPr>
              <w:t>3,79</w:t>
            </w:r>
          </w:p>
        </w:tc>
      </w:tr>
      <w:tr w:rsidR="00D34565" w:rsidRPr="00AE696F" w:rsidTr="0032289A">
        <w:trPr>
          <w:trHeight w:val="233"/>
        </w:trPr>
        <w:tc>
          <w:tcPr>
            <w:tcW w:w="3489" w:type="dxa"/>
            <w:shd w:val="clear" w:color="auto" w:fill="auto"/>
            <w:vAlign w:val="bottom"/>
            <w:hideMark/>
          </w:tcPr>
          <w:p w:rsidR="00D34565" w:rsidRPr="001F6D3E" w:rsidRDefault="00D34565" w:rsidP="00D34565">
            <w:pPr>
              <w:rPr>
                <w:rFonts w:asciiTheme="minorHAnsi" w:hAnsiTheme="minorHAnsi"/>
                <w:sz w:val="22"/>
                <w:szCs w:val="22"/>
              </w:rPr>
            </w:pPr>
            <w:r w:rsidRPr="001F6D3E">
              <w:rPr>
                <w:rFonts w:asciiTheme="minorHAnsi" w:hAnsiTheme="minorHAnsi"/>
                <w:sz w:val="22"/>
                <w:szCs w:val="22"/>
              </w:rPr>
              <w:t>Oročeni depozit</w:t>
            </w:r>
            <w:r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2406" w:type="dxa"/>
            <w:shd w:val="clear" w:color="auto" w:fill="auto"/>
            <w:hideMark/>
          </w:tcPr>
          <w:p w:rsidR="00D34565" w:rsidRPr="00D34565" w:rsidRDefault="00D34565" w:rsidP="00D345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34565">
              <w:rPr>
                <w:rFonts w:asciiTheme="minorHAnsi" w:hAnsiTheme="minorHAnsi" w:cstheme="minorHAnsi"/>
                <w:sz w:val="22"/>
                <w:szCs w:val="22"/>
              </w:rPr>
              <w:t>9.308.052,15</w:t>
            </w:r>
          </w:p>
        </w:tc>
        <w:tc>
          <w:tcPr>
            <w:tcW w:w="2984" w:type="dxa"/>
            <w:shd w:val="clear" w:color="auto" w:fill="auto"/>
            <w:noWrap/>
            <w:hideMark/>
          </w:tcPr>
          <w:p w:rsidR="00D34565" w:rsidRPr="00D34565" w:rsidRDefault="00D34565" w:rsidP="00D345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34565">
              <w:rPr>
                <w:rFonts w:asciiTheme="minorHAnsi" w:hAnsiTheme="minorHAnsi" w:cstheme="minorHAnsi"/>
                <w:sz w:val="22"/>
                <w:szCs w:val="22"/>
              </w:rPr>
              <w:t>17,21</w:t>
            </w:r>
          </w:p>
        </w:tc>
      </w:tr>
      <w:tr w:rsidR="00D34565" w:rsidRPr="00AE696F" w:rsidTr="0032289A">
        <w:trPr>
          <w:trHeight w:val="233"/>
        </w:trPr>
        <w:tc>
          <w:tcPr>
            <w:tcW w:w="3489" w:type="dxa"/>
            <w:shd w:val="clear" w:color="auto" w:fill="D2EAF1"/>
            <w:vAlign w:val="bottom"/>
            <w:hideMark/>
          </w:tcPr>
          <w:p w:rsidR="00D34565" w:rsidRPr="001F6D3E" w:rsidRDefault="00D34565" w:rsidP="00D34565">
            <w:pPr>
              <w:rPr>
                <w:rFonts w:asciiTheme="minorHAnsi" w:hAnsiTheme="minorHAnsi"/>
                <w:sz w:val="22"/>
                <w:szCs w:val="22"/>
              </w:rPr>
            </w:pPr>
            <w:r w:rsidRPr="001F6D3E">
              <w:rPr>
                <w:rFonts w:asciiTheme="minorHAnsi" w:hAnsiTheme="minorHAnsi"/>
                <w:sz w:val="22"/>
                <w:szCs w:val="22"/>
              </w:rPr>
              <w:t>Akcij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2406" w:type="dxa"/>
            <w:tcBorders>
              <w:left w:val="nil"/>
              <w:right w:val="nil"/>
            </w:tcBorders>
            <w:shd w:val="clear" w:color="auto" w:fill="D2EAF1"/>
            <w:hideMark/>
          </w:tcPr>
          <w:p w:rsidR="00D34565" w:rsidRPr="00D34565" w:rsidRDefault="00D34565" w:rsidP="00D345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34565">
              <w:rPr>
                <w:rFonts w:asciiTheme="minorHAnsi" w:hAnsiTheme="minorHAnsi" w:cstheme="minorHAnsi"/>
                <w:sz w:val="22"/>
                <w:szCs w:val="22"/>
              </w:rPr>
              <w:t>38.050.345,25</w:t>
            </w:r>
          </w:p>
        </w:tc>
        <w:tc>
          <w:tcPr>
            <w:tcW w:w="2984" w:type="dxa"/>
            <w:shd w:val="clear" w:color="auto" w:fill="D2EAF1"/>
            <w:noWrap/>
            <w:hideMark/>
          </w:tcPr>
          <w:p w:rsidR="00D34565" w:rsidRPr="00D34565" w:rsidRDefault="00D34565" w:rsidP="00D345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34565">
              <w:rPr>
                <w:rFonts w:asciiTheme="minorHAnsi" w:hAnsiTheme="minorHAnsi" w:cstheme="minorHAnsi"/>
                <w:sz w:val="22"/>
                <w:szCs w:val="22"/>
              </w:rPr>
              <w:t>70,36</w:t>
            </w:r>
          </w:p>
        </w:tc>
      </w:tr>
      <w:tr w:rsidR="00D34565" w:rsidRPr="00AE696F" w:rsidTr="0032289A">
        <w:trPr>
          <w:trHeight w:val="233"/>
        </w:trPr>
        <w:tc>
          <w:tcPr>
            <w:tcW w:w="3489" w:type="dxa"/>
            <w:tcBorders>
              <w:bottom w:val="nil"/>
            </w:tcBorders>
            <w:shd w:val="clear" w:color="auto" w:fill="auto"/>
            <w:vAlign w:val="bottom"/>
            <w:hideMark/>
          </w:tcPr>
          <w:p w:rsidR="00D34565" w:rsidRPr="001F6D3E" w:rsidRDefault="00D34565" w:rsidP="00D34565">
            <w:pPr>
              <w:rPr>
                <w:rFonts w:asciiTheme="minorHAnsi" w:hAnsiTheme="minorHAnsi"/>
                <w:sz w:val="22"/>
                <w:szCs w:val="22"/>
              </w:rPr>
            </w:pPr>
            <w:r w:rsidRPr="001F6D3E">
              <w:rPr>
                <w:rFonts w:asciiTheme="minorHAnsi" w:hAnsiTheme="minorHAnsi"/>
                <w:sz w:val="22"/>
                <w:szCs w:val="22"/>
              </w:rPr>
              <w:t>Obveznic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2406" w:type="dxa"/>
            <w:tcBorders>
              <w:bottom w:val="nil"/>
            </w:tcBorders>
            <w:shd w:val="clear" w:color="auto" w:fill="auto"/>
            <w:hideMark/>
          </w:tcPr>
          <w:p w:rsidR="00D34565" w:rsidRPr="00D34565" w:rsidRDefault="00D34565" w:rsidP="00D345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34565">
              <w:rPr>
                <w:rFonts w:asciiTheme="minorHAnsi" w:hAnsiTheme="minorHAnsi" w:cstheme="minorHAnsi"/>
                <w:sz w:val="22"/>
                <w:szCs w:val="22"/>
              </w:rPr>
              <w:t>3.728.429,09</w:t>
            </w:r>
          </w:p>
        </w:tc>
        <w:tc>
          <w:tcPr>
            <w:tcW w:w="2984" w:type="dxa"/>
            <w:tcBorders>
              <w:bottom w:val="nil"/>
            </w:tcBorders>
            <w:shd w:val="clear" w:color="auto" w:fill="auto"/>
            <w:noWrap/>
            <w:hideMark/>
          </w:tcPr>
          <w:p w:rsidR="00D34565" w:rsidRPr="00D34565" w:rsidRDefault="00D34565" w:rsidP="00D345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34565">
              <w:rPr>
                <w:rFonts w:asciiTheme="minorHAnsi" w:hAnsiTheme="minorHAnsi" w:cstheme="minorHAnsi"/>
                <w:sz w:val="22"/>
                <w:szCs w:val="22"/>
              </w:rPr>
              <w:t>6,89</w:t>
            </w:r>
          </w:p>
        </w:tc>
      </w:tr>
      <w:tr w:rsidR="00D34565" w:rsidRPr="00AE696F" w:rsidTr="0032289A">
        <w:trPr>
          <w:trHeight w:val="233"/>
        </w:trPr>
        <w:tc>
          <w:tcPr>
            <w:tcW w:w="3489" w:type="dxa"/>
            <w:tcBorders>
              <w:top w:val="nil"/>
              <w:bottom w:val="nil"/>
            </w:tcBorders>
            <w:shd w:val="clear" w:color="auto" w:fill="DAEEF3" w:themeFill="accent5" w:themeFillTint="33"/>
            <w:vAlign w:val="bottom"/>
            <w:hideMark/>
          </w:tcPr>
          <w:p w:rsidR="00D34565" w:rsidRPr="001F6D3E" w:rsidRDefault="00D34565" w:rsidP="00D34565">
            <w:pPr>
              <w:rPr>
                <w:rFonts w:asciiTheme="minorHAnsi" w:hAnsiTheme="minorHAnsi"/>
                <w:sz w:val="22"/>
                <w:szCs w:val="22"/>
              </w:rPr>
            </w:pPr>
            <w:r w:rsidRPr="001F6D3E">
              <w:rPr>
                <w:rFonts w:asciiTheme="minorHAnsi" w:hAnsiTheme="minorHAnsi"/>
                <w:sz w:val="22"/>
                <w:szCs w:val="22"/>
              </w:rPr>
              <w:t>Potraživanj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</w:p>
        </w:tc>
        <w:tc>
          <w:tcPr>
            <w:tcW w:w="2406" w:type="dxa"/>
            <w:tcBorders>
              <w:top w:val="nil"/>
              <w:bottom w:val="nil"/>
            </w:tcBorders>
            <w:shd w:val="clear" w:color="auto" w:fill="DAEEF3" w:themeFill="accent5" w:themeFillTint="33"/>
            <w:hideMark/>
          </w:tcPr>
          <w:p w:rsidR="00D34565" w:rsidRPr="00D34565" w:rsidRDefault="00D34565" w:rsidP="00D345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34565">
              <w:rPr>
                <w:rFonts w:asciiTheme="minorHAnsi" w:hAnsiTheme="minorHAnsi" w:cstheme="minorHAnsi"/>
                <w:sz w:val="22"/>
                <w:szCs w:val="22"/>
              </w:rPr>
              <w:t>1.106.234,14</w:t>
            </w:r>
          </w:p>
        </w:tc>
        <w:tc>
          <w:tcPr>
            <w:tcW w:w="2984" w:type="dxa"/>
            <w:tcBorders>
              <w:top w:val="nil"/>
              <w:bottom w:val="nil"/>
            </w:tcBorders>
            <w:shd w:val="clear" w:color="auto" w:fill="DAEEF3" w:themeFill="accent5" w:themeFillTint="33"/>
            <w:noWrap/>
            <w:hideMark/>
          </w:tcPr>
          <w:p w:rsidR="00D34565" w:rsidRPr="00D34565" w:rsidRDefault="00D34565" w:rsidP="00D345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34565">
              <w:rPr>
                <w:rFonts w:asciiTheme="minorHAnsi" w:hAnsiTheme="minorHAnsi" w:cstheme="minorHAnsi"/>
                <w:sz w:val="22"/>
                <w:szCs w:val="22"/>
              </w:rPr>
              <w:t>2,05</w:t>
            </w:r>
          </w:p>
        </w:tc>
      </w:tr>
      <w:tr w:rsidR="00D34565" w:rsidRPr="00AE696F" w:rsidTr="0032289A">
        <w:trPr>
          <w:trHeight w:val="233"/>
        </w:trPr>
        <w:tc>
          <w:tcPr>
            <w:tcW w:w="3489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D34565" w:rsidRPr="001F6D3E" w:rsidRDefault="00D34565" w:rsidP="00D34565">
            <w:pPr>
              <w:rPr>
                <w:rFonts w:asciiTheme="minorHAnsi" w:hAnsiTheme="minorHAnsi"/>
                <w:sz w:val="22"/>
                <w:szCs w:val="22"/>
              </w:rPr>
            </w:pPr>
            <w:r w:rsidRPr="001F6D3E">
              <w:rPr>
                <w:rFonts w:asciiTheme="minorHAnsi" w:hAnsiTheme="minorHAnsi"/>
                <w:sz w:val="22"/>
                <w:szCs w:val="22"/>
              </w:rPr>
              <w:t>Obavez</w:t>
            </w:r>
            <w:r>
              <w:rPr>
                <w:rFonts w:asciiTheme="minorHAnsi" w:hAnsiTheme="minorHAnsi"/>
                <w:sz w:val="22"/>
                <w:szCs w:val="22"/>
              </w:rPr>
              <w:t>e</w:t>
            </w: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4565" w:rsidRPr="00D34565" w:rsidRDefault="00D34565" w:rsidP="00D345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34565">
              <w:rPr>
                <w:rFonts w:asciiTheme="minorHAnsi" w:hAnsiTheme="minorHAnsi" w:cstheme="minorHAnsi"/>
                <w:sz w:val="22"/>
                <w:szCs w:val="22"/>
              </w:rPr>
              <w:t>-162.599,01</w:t>
            </w:r>
          </w:p>
        </w:tc>
        <w:tc>
          <w:tcPr>
            <w:tcW w:w="2984" w:type="dxa"/>
            <w:tcBorders>
              <w:top w:val="nil"/>
              <w:bottom w:val="nil"/>
            </w:tcBorders>
            <w:shd w:val="clear" w:color="auto" w:fill="auto"/>
            <w:noWrap/>
          </w:tcPr>
          <w:p w:rsidR="00D34565" w:rsidRPr="00D34565" w:rsidRDefault="00D34565" w:rsidP="00D345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34565">
              <w:rPr>
                <w:rFonts w:asciiTheme="minorHAnsi" w:hAnsiTheme="minorHAnsi" w:cstheme="minorHAnsi"/>
                <w:sz w:val="22"/>
                <w:szCs w:val="22"/>
              </w:rPr>
              <w:t>-0,30</w:t>
            </w:r>
          </w:p>
        </w:tc>
      </w:tr>
      <w:tr w:rsidR="00D34565" w:rsidRPr="00AE696F" w:rsidTr="0032289A">
        <w:trPr>
          <w:trHeight w:val="233"/>
        </w:trPr>
        <w:tc>
          <w:tcPr>
            <w:tcW w:w="3489" w:type="dxa"/>
            <w:tcBorders>
              <w:top w:val="nil"/>
              <w:bottom w:val="single" w:sz="8" w:space="0" w:color="4BACC6"/>
            </w:tcBorders>
            <w:shd w:val="clear" w:color="auto" w:fill="DAEEF3" w:themeFill="accent5" w:themeFillTint="33"/>
            <w:vAlign w:val="bottom"/>
            <w:hideMark/>
          </w:tcPr>
          <w:p w:rsidR="00D34565" w:rsidRPr="001F6D3E" w:rsidRDefault="00D34565" w:rsidP="00D34565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UKUPNO</w:t>
            </w:r>
            <w:r w:rsidRPr="001F6D3E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06" w:type="dxa"/>
            <w:tcBorders>
              <w:top w:val="nil"/>
              <w:bottom w:val="single" w:sz="8" w:space="0" w:color="4BACC6"/>
            </w:tcBorders>
            <w:shd w:val="clear" w:color="auto" w:fill="DAEEF3" w:themeFill="accent5" w:themeFillTint="33"/>
            <w:hideMark/>
          </w:tcPr>
          <w:p w:rsidR="00D34565" w:rsidRPr="00D34565" w:rsidRDefault="00D34565" w:rsidP="00D345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34565">
              <w:rPr>
                <w:rFonts w:asciiTheme="minorHAnsi" w:hAnsiTheme="minorHAnsi" w:cstheme="minorHAnsi"/>
                <w:sz w:val="22"/>
                <w:szCs w:val="22"/>
              </w:rPr>
              <w:t>68.083.304,31</w:t>
            </w:r>
          </w:p>
        </w:tc>
        <w:tc>
          <w:tcPr>
            <w:tcW w:w="2984" w:type="dxa"/>
            <w:tcBorders>
              <w:top w:val="nil"/>
              <w:bottom w:val="single" w:sz="8" w:space="0" w:color="4BACC6"/>
            </w:tcBorders>
            <w:shd w:val="clear" w:color="auto" w:fill="DAEEF3" w:themeFill="accent5" w:themeFillTint="33"/>
            <w:noWrap/>
            <w:hideMark/>
          </w:tcPr>
          <w:p w:rsidR="00D34565" w:rsidRPr="00D34565" w:rsidRDefault="00D34565" w:rsidP="00D34565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D34565">
              <w:rPr>
                <w:rFonts w:asciiTheme="minorHAnsi" w:hAnsiTheme="minorHAnsi" w:cstheme="minorHAnsi"/>
                <w:sz w:val="22"/>
                <w:szCs w:val="22"/>
              </w:rPr>
              <w:t>100,00</w:t>
            </w:r>
          </w:p>
        </w:tc>
      </w:tr>
    </w:tbl>
    <w:p w:rsidR="005A4F7A" w:rsidRDefault="005A4F7A">
      <w:pPr>
        <w:rPr>
          <w:rFonts w:ascii="Calibri" w:hAnsi="Calibri" w:cs="Calibri"/>
        </w:rPr>
      </w:pPr>
    </w:p>
    <w:p w:rsidR="00E149D5" w:rsidRPr="0096759A" w:rsidRDefault="00930DFE" w:rsidP="00930DFE">
      <w:pPr>
        <w:jc w:val="both"/>
        <w:rPr>
          <w:rFonts w:ascii="Calibri" w:hAnsi="Calibri" w:cs="Calibri"/>
        </w:rPr>
      </w:pPr>
      <w:r w:rsidRPr="0096759A">
        <w:rPr>
          <w:rFonts w:ascii="Calibri" w:hAnsi="Calibri" w:cs="Calibri"/>
        </w:rPr>
        <w:t>U strukturi</w:t>
      </w:r>
      <w:r w:rsidR="00910D8B">
        <w:rPr>
          <w:rFonts w:ascii="Calibri" w:hAnsi="Calibri" w:cs="Calibri"/>
        </w:rPr>
        <w:t xml:space="preserve"> neto</w:t>
      </w:r>
      <w:r w:rsidRPr="0096759A">
        <w:rPr>
          <w:rFonts w:ascii="Calibri" w:hAnsi="Calibri" w:cs="Calibri"/>
        </w:rPr>
        <w:t xml:space="preserve"> imovine Fonda </w:t>
      </w:r>
      <w:r w:rsidR="00EB5D87" w:rsidRPr="0096759A">
        <w:rPr>
          <w:rFonts w:ascii="Calibri" w:hAnsi="Calibri" w:cs="Calibri"/>
        </w:rPr>
        <w:t>na dan 3</w:t>
      </w:r>
      <w:r w:rsidR="0032289A">
        <w:rPr>
          <w:rFonts w:ascii="Calibri" w:hAnsi="Calibri" w:cs="Calibri"/>
        </w:rPr>
        <w:t>0</w:t>
      </w:r>
      <w:r w:rsidR="00EB5D87" w:rsidRPr="0096759A">
        <w:rPr>
          <w:rFonts w:ascii="Calibri" w:hAnsi="Calibri" w:cs="Calibri"/>
        </w:rPr>
        <w:t>.</w:t>
      </w:r>
      <w:r w:rsidR="0032289A">
        <w:rPr>
          <w:rFonts w:ascii="Calibri" w:hAnsi="Calibri" w:cs="Calibri"/>
        </w:rPr>
        <w:t>06</w:t>
      </w:r>
      <w:r w:rsidR="008F6DA5">
        <w:rPr>
          <w:rFonts w:ascii="Calibri" w:hAnsi="Calibri" w:cs="Calibri"/>
        </w:rPr>
        <w:t>.2021</w:t>
      </w:r>
      <w:r w:rsidR="00EB5D87" w:rsidRPr="0096759A">
        <w:rPr>
          <w:rFonts w:ascii="Calibri" w:hAnsi="Calibri" w:cs="Calibri"/>
        </w:rPr>
        <w:t xml:space="preserve">.godine </w:t>
      </w:r>
      <w:r w:rsidRPr="0096759A">
        <w:rPr>
          <w:rFonts w:ascii="Calibri" w:hAnsi="Calibri" w:cs="Calibri"/>
        </w:rPr>
        <w:t xml:space="preserve">najveće učešće imaju akcije sa </w:t>
      </w:r>
      <w:r w:rsidR="0032289A">
        <w:rPr>
          <w:rFonts w:ascii="Calibri" w:hAnsi="Calibri" w:cs="Calibri"/>
        </w:rPr>
        <w:t>70</w:t>
      </w:r>
      <w:r w:rsidR="008F6DA5">
        <w:rPr>
          <w:rFonts w:ascii="Calibri" w:hAnsi="Calibri" w:cs="Calibri"/>
        </w:rPr>
        <w:t>,</w:t>
      </w:r>
      <w:r w:rsidR="0032289A">
        <w:rPr>
          <w:rFonts w:ascii="Calibri" w:hAnsi="Calibri" w:cs="Calibri"/>
        </w:rPr>
        <w:t>36</w:t>
      </w:r>
      <w:r w:rsidRPr="0096759A">
        <w:rPr>
          <w:rFonts w:ascii="Calibri" w:hAnsi="Calibri" w:cs="Calibri"/>
        </w:rPr>
        <w:t xml:space="preserve">%, a slijede </w:t>
      </w:r>
      <w:r w:rsidR="00D6195D" w:rsidRPr="0096759A">
        <w:rPr>
          <w:rFonts w:ascii="Calibri" w:hAnsi="Calibri" w:cs="Calibri"/>
        </w:rPr>
        <w:t xml:space="preserve">depoziti </w:t>
      </w:r>
      <w:r w:rsidRPr="0096759A">
        <w:rPr>
          <w:rFonts w:ascii="Calibri" w:hAnsi="Calibri" w:cs="Calibri"/>
        </w:rPr>
        <w:t xml:space="preserve">sa učešćem od </w:t>
      </w:r>
      <w:r w:rsidR="0032289A">
        <w:rPr>
          <w:rFonts w:ascii="Calibri" w:hAnsi="Calibri" w:cs="Calibri"/>
        </w:rPr>
        <w:t>17,2</w:t>
      </w:r>
      <w:r w:rsidR="008F6DA5">
        <w:rPr>
          <w:rFonts w:ascii="Calibri" w:hAnsi="Calibri" w:cs="Calibri"/>
        </w:rPr>
        <w:t xml:space="preserve">1% te obveznice </w:t>
      </w:r>
      <w:r w:rsidR="0032289A">
        <w:rPr>
          <w:rFonts w:ascii="Calibri" w:hAnsi="Calibri" w:cs="Calibri"/>
        </w:rPr>
        <w:t>sa učešćem od 6,89</w:t>
      </w:r>
      <w:r w:rsidR="00834FDD">
        <w:rPr>
          <w:rFonts w:ascii="Calibri" w:hAnsi="Calibri" w:cs="Calibri"/>
        </w:rPr>
        <w:t xml:space="preserve"> % neto </w:t>
      </w:r>
      <w:r w:rsidR="00834FDD">
        <w:rPr>
          <w:rFonts w:ascii="Calibri" w:hAnsi="Calibri" w:cs="Calibri"/>
        </w:rPr>
        <w:lastRenderedPageBreak/>
        <w:t xml:space="preserve">vrijednosti imovine. </w:t>
      </w:r>
      <w:r w:rsidR="00A7279E">
        <w:rPr>
          <w:rFonts w:ascii="Calibri" w:hAnsi="Calibri" w:cs="Calibri"/>
        </w:rPr>
        <w:t>Iz prethodne tabele v</w:t>
      </w:r>
      <w:r w:rsidR="00D976BC">
        <w:rPr>
          <w:rFonts w:ascii="Calibri" w:hAnsi="Calibri" w:cs="Calibri"/>
        </w:rPr>
        <w:t xml:space="preserve">idimo da je struktura ulaganja </w:t>
      </w:r>
      <w:r w:rsidR="00834FDD">
        <w:rPr>
          <w:rFonts w:ascii="Calibri" w:hAnsi="Calibri" w:cs="Calibri"/>
        </w:rPr>
        <w:t>u skladu sa</w:t>
      </w:r>
      <w:r w:rsidR="00D976BC">
        <w:rPr>
          <w:rFonts w:ascii="Calibri" w:hAnsi="Calibri" w:cs="Calibri"/>
        </w:rPr>
        <w:t xml:space="preserve"> Prospektom Fonda.</w:t>
      </w:r>
    </w:p>
    <w:p w:rsidR="00E40F54" w:rsidRPr="0096759A" w:rsidRDefault="00E40F54" w:rsidP="00930DFE">
      <w:pPr>
        <w:jc w:val="both"/>
        <w:rPr>
          <w:rFonts w:ascii="Calibri" w:hAnsi="Calibri" w:cs="Calibri"/>
        </w:rPr>
      </w:pPr>
    </w:p>
    <w:p w:rsidR="00E149D5" w:rsidRDefault="00E149D5" w:rsidP="00930DFE">
      <w:pPr>
        <w:jc w:val="both"/>
        <w:rPr>
          <w:rFonts w:ascii="Calibri" w:hAnsi="Calibri" w:cs="Calibri"/>
        </w:rPr>
      </w:pPr>
      <w:r w:rsidRPr="00F444CA">
        <w:rPr>
          <w:rFonts w:ascii="Calibri" w:hAnsi="Calibri" w:cs="Calibri"/>
        </w:rPr>
        <w:t>U narednoj tabeli prikazano je deset najvećih pojedinačnih ulaganja Fonda u hartije od vrijednosti</w:t>
      </w:r>
      <w:r w:rsidR="0032289A">
        <w:rPr>
          <w:rFonts w:ascii="Calibri" w:hAnsi="Calibri" w:cs="Calibri"/>
        </w:rPr>
        <w:t xml:space="preserve"> na dan 30.06</w:t>
      </w:r>
      <w:r w:rsidR="00834FDD">
        <w:rPr>
          <w:rFonts w:ascii="Calibri" w:hAnsi="Calibri" w:cs="Calibri"/>
        </w:rPr>
        <w:t>.2021</w:t>
      </w:r>
      <w:r w:rsidR="00F444CA">
        <w:rPr>
          <w:rFonts w:ascii="Calibri" w:hAnsi="Calibri" w:cs="Calibri"/>
        </w:rPr>
        <w:t>.godine</w:t>
      </w:r>
      <w:r w:rsidRPr="0096759A">
        <w:rPr>
          <w:rFonts w:ascii="Calibri" w:hAnsi="Calibri" w:cs="Calibri"/>
        </w:rPr>
        <w:t>:</w:t>
      </w:r>
    </w:p>
    <w:p w:rsidR="00E149D5" w:rsidRDefault="00E149D5" w:rsidP="00930DFE">
      <w:pPr>
        <w:jc w:val="both"/>
        <w:rPr>
          <w:rFonts w:ascii="Calibri" w:hAnsi="Calibri" w:cs="Calibri"/>
        </w:rPr>
      </w:pPr>
    </w:p>
    <w:tbl>
      <w:tblPr>
        <w:tblW w:w="8854" w:type="dxa"/>
        <w:tblInd w:w="108" w:type="dxa"/>
        <w:tblLook w:val="04A0" w:firstRow="1" w:lastRow="0" w:firstColumn="1" w:lastColumn="0" w:noHBand="0" w:noVBand="1"/>
      </w:tblPr>
      <w:tblGrid>
        <w:gridCol w:w="4307"/>
        <w:gridCol w:w="1222"/>
        <w:gridCol w:w="1903"/>
        <w:gridCol w:w="1422"/>
      </w:tblGrid>
      <w:tr w:rsidR="00F40503" w:rsidTr="0032289A">
        <w:trPr>
          <w:trHeight w:val="294"/>
        </w:trPr>
        <w:tc>
          <w:tcPr>
            <w:tcW w:w="430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bookmarkStart w:id="0" w:name="RANGE!I3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Emitent</w:t>
            </w:r>
            <w:bookmarkEnd w:id="0"/>
          </w:p>
        </w:tc>
        <w:tc>
          <w:tcPr>
            <w:tcW w:w="122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Broj hov</w:t>
            </w:r>
          </w:p>
        </w:tc>
        <w:tc>
          <w:tcPr>
            <w:tcW w:w="190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Iznos u KM</w:t>
            </w:r>
          </w:p>
        </w:tc>
        <w:tc>
          <w:tcPr>
            <w:tcW w:w="142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Učešće u NVI</w:t>
            </w:r>
          </w:p>
        </w:tc>
      </w:tr>
      <w:tr w:rsidR="00F40503" w:rsidTr="0032289A">
        <w:trPr>
          <w:trHeight w:val="294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Telekom Srpske a.d. Banja Luka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12.186.008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12.749.825,94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24,28%</w:t>
            </w:r>
          </w:p>
        </w:tc>
      </w:tr>
      <w:tr w:rsidR="00F40503" w:rsidTr="0032289A">
        <w:trPr>
          <w:trHeight w:val="294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Hidroelektrane na Drini a.d. Višegrad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22.381.182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4.621.714,08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8,80%</w:t>
            </w:r>
          </w:p>
        </w:tc>
      </w:tr>
      <w:tr w:rsidR="00F40503" w:rsidTr="0032289A">
        <w:trPr>
          <w:trHeight w:val="294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Hidroelektrane na Trebišnjici a.d. Trebinje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20.567.648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3.901.682,83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7,43%</w:t>
            </w:r>
          </w:p>
        </w:tc>
      </w:tr>
      <w:tr w:rsidR="00F40503" w:rsidTr="0032289A">
        <w:trPr>
          <w:trHeight w:val="294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Jugopetrol a.d. Podgorica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120.222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2.280.797,80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4,34%</w:t>
            </w:r>
          </w:p>
        </w:tc>
      </w:tr>
      <w:tr w:rsidR="00F40503" w:rsidTr="0032289A">
        <w:trPr>
          <w:trHeight w:val="294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Medios AG Berlin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22.979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1.640.420,14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3,12%</w:t>
            </w:r>
          </w:p>
        </w:tc>
      </w:tr>
      <w:tr w:rsidR="00F40503" w:rsidTr="0032289A">
        <w:trPr>
          <w:trHeight w:val="294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Krajina GP a.d. Banja Luka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740.201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1.418.154,49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2,70%</w:t>
            </w:r>
          </w:p>
        </w:tc>
      </w:tr>
      <w:tr w:rsidR="00F40503" w:rsidTr="0032289A">
        <w:trPr>
          <w:trHeight w:val="294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F40503" w:rsidRDefault="00F405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Telekom Slovenije d.d. Ljubljana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9.875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1.258.785,82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2,40%</w:t>
            </w:r>
          </w:p>
        </w:tc>
      </w:tr>
      <w:tr w:rsidR="00F40503" w:rsidTr="0032289A">
        <w:trPr>
          <w:trHeight w:val="294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REPUBLIKA SRPSKA-RSRS-O-F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2.832.216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1.040.190,97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1,98%</w:t>
            </w:r>
          </w:p>
        </w:tc>
      </w:tr>
      <w:tr w:rsidR="00F40503" w:rsidTr="0032289A">
        <w:trPr>
          <w:trHeight w:val="294"/>
        </w:trPr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Nis a.d. Novi Sad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82.673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965.691,06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1,84%</w:t>
            </w:r>
          </w:p>
        </w:tc>
      </w:tr>
      <w:tr w:rsidR="00F40503" w:rsidTr="0032289A">
        <w:trPr>
          <w:trHeight w:val="308"/>
        </w:trPr>
        <w:tc>
          <w:tcPr>
            <w:tcW w:w="4307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REPUBLIKA SRPSKA-RSDS-O-H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1.448.744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858.166,10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1,63%</w:t>
            </w:r>
          </w:p>
        </w:tc>
      </w:tr>
      <w:tr w:rsidR="00F40503" w:rsidTr="0032289A">
        <w:trPr>
          <w:trHeight w:val="308"/>
        </w:trPr>
        <w:tc>
          <w:tcPr>
            <w:tcW w:w="4307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UKUPNO: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30.735.429,24 KM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000000" w:fill="D2EAF1"/>
            <w:noWrap/>
            <w:vAlign w:val="center"/>
            <w:hideMark/>
          </w:tcPr>
          <w:p w:rsidR="00F40503" w:rsidRDefault="00F4050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58,53%</w:t>
            </w:r>
          </w:p>
        </w:tc>
      </w:tr>
    </w:tbl>
    <w:p w:rsidR="00F70C73" w:rsidRDefault="00F70C73" w:rsidP="00F70C73">
      <w:pPr>
        <w:ind w:left="720"/>
        <w:rPr>
          <w:rFonts w:ascii="Calibri" w:hAnsi="Calibri" w:cs="Calibri"/>
          <w:b/>
          <w:lang w:val="en-US"/>
        </w:rPr>
      </w:pPr>
    </w:p>
    <w:p w:rsidR="00F70C73" w:rsidRDefault="0096759A" w:rsidP="00B10C4D">
      <w:pPr>
        <w:jc w:val="both"/>
        <w:rPr>
          <w:rFonts w:ascii="Calibri" w:hAnsi="Calibri" w:cs="Calibri"/>
          <w:lang w:val="en-US"/>
        </w:rPr>
      </w:pPr>
      <w:r w:rsidRPr="00B10C4D">
        <w:rPr>
          <w:rFonts w:ascii="Calibri" w:hAnsi="Calibri" w:cs="Calibri"/>
          <w:lang w:val="en-US"/>
        </w:rPr>
        <w:t xml:space="preserve">Iz gore navedene tabele vidimo da je najveća izloženost portelja Fonda </w:t>
      </w:r>
      <w:r w:rsidR="00B10C4D">
        <w:rPr>
          <w:rFonts w:ascii="Calibri" w:hAnsi="Calibri" w:cs="Calibri"/>
          <w:lang w:val="en-US"/>
        </w:rPr>
        <w:t xml:space="preserve">pojedinačno </w:t>
      </w:r>
      <w:r w:rsidRPr="00B10C4D">
        <w:rPr>
          <w:rFonts w:ascii="Calibri" w:hAnsi="Calibri" w:cs="Calibri"/>
          <w:lang w:val="en-US"/>
        </w:rPr>
        <w:t>prema emitent</w:t>
      </w:r>
      <w:r w:rsidR="00B10C4D">
        <w:rPr>
          <w:rFonts w:ascii="Calibri" w:hAnsi="Calibri" w:cs="Calibri"/>
          <w:lang w:val="en-US"/>
        </w:rPr>
        <w:t>u Telekom Srpske a.d. Banja Luka</w:t>
      </w:r>
      <w:r w:rsidR="00C57530">
        <w:rPr>
          <w:rFonts w:ascii="Calibri" w:hAnsi="Calibri" w:cs="Calibri"/>
          <w:lang w:val="en-US"/>
        </w:rPr>
        <w:t>,</w:t>
      </w:r>
      <w:r w:rsidR="00B10C4D">
        <w:rPr>
          <w:rFonts w:ascii="Calibri" w:hAnsi="Calibri" w:cs="Calibri"/>
          <w:lang w:val="en-US"/>
        </w:rPr>
        <w:t xml:space="preserve"> koji čini </w:t>
      </w:r>
      <w:r w:rsidR="00834FDD">
        <w:rPr>
          <w:rFonts w:ascii="Calibri" w:hAnsi="Calibri" w:cs="Calibri"/>
          <w:lang w:val="en-US"/>
        </w:rPr>
        <w:t>24</w:t>
      </w:r>
      <w:r w:rsidR="00DD7BA2">
        <w:rPr>
          <w:rFonts w:ascii="Calibri" w:hAnsi="Calibri" w:cs="Calibri"/>
          <w:lang w:val="en-US"/>
        </w:rPr>
        <w:t>,</w:t>
      </w:r>
      <w:r w:rsidR="00834FDD">
        <w:rPr>
          <w:rFonts w:ascii="Calibri" w:hAnsi="Calibri" w:cs="Calibri"/>
          <w:lang w:val="en-US"/>
        </w:rPr>
        <w:t>28</w:t>
      </w:r>
      <w:r w:rsidR="00B10C4D">
        <w:rPr>
          <w:rFonts w:ascii="Calibri" w:hAnsi="Calibri" w:cs="Calibri"/>
          <w:lang w:val="en-US"/>
        </w:rPr>
        <w:t xml:space="preserve">% neto vrijednosti imovine Fonda. </w:t>
      </w:r>
      <w:r w:rsidR="001C1C35">
        <w:rPr>
          <w:rFonts w:ascii="Calibri" w:hAnsi="Calibri" w:cs="Calibri"/>
          <w:lang w:val="en-US"/>
        </w:rPr>
        <w:t>Sa izuzetkom Telekoma RS, možemo reći da je po</w:t>
      </w:r>
      <w:r w:rsidR="005E7D3F">
        <w:rPr>
          <w:rFonts w:ascii="Calibri" w:hAnsi="Calibri" w:cs="Calibri"/>
          <w:lang w:val="en-US"/>
        </w:rPr>
        <w:t>rt</w:t>
      </w:r>
      <w:r w:rsidR="001C1C35">
        <w:rPr>
          <w:rFonts w:ascii="Calibri" w:hAnsi="Calibri" w:cs="Calibri"/>
          <w:lang w:val="en-US"/>
        </w:rPr>
        <w:t xml:space="preserve">felj Fonda dobro diverzifikovan, imajući u vidu da nema drugih emitenata sa dominantnim učešćem u portfelju. </w:t>
      </w:r>
      <w:r w:rsidR="00B10C4D">
        <w:rPr>
          <w:rFonts w:ascii="Calibri" w:hAnsi="Calibri" w:cs="Calibri"/>
          <w:lang w:val="en-US"/>
        </w:rPr>
        <w:t>Posmatrajući prema tržištima</w:t>
      </w:r>
      <w:r w:rsidR="001C1C35">
        <w:rPr>
          <w:rFonts w:ascii="Calibri" w:hAnsi="Calibri" w:cs="Calibri"/>
          <w:lang w:val="en-US"/>
        </w:rPr>
        <w:t>,</w:t>
      </w:r>
      <w:r w:rsidR="00C57530">
        <w:rPr>
          <w:rFonts w:ascii="Calibri" w:hAnsi="Calibri" w:cs="Calibri"/>
          <w:lang w:val="en-US"/>
        </w:rPr>
        <w:t xml:space="preserve"> </w:t>
      </w:r>
      <w:r w:rsidR="00B10C4D">
        <w:rPr>
          <w:rFonts w:ascii="Calibri" w:hAnsi="Calibri" w:cs="Calibri"/>
          <w:lang w:val="en-US"/>
        </w:rPr>
        <w:t>najveća izloženost je prema tržištu Republike Srpske,</w:t>
      </w:r>
      <w:r w:rsidR="00DD7BA2">
        <w:rPr>
          <w:rFonts w:ascii="Calibri" w:hAnsi="Calibri" w:cs="Calibri"/>
          <w:lang w:val="en-US"/>
        </w:rPr>
        <w:t xml:space="preserve"> a </w:t>
      </w:r>
      <w:r w:rsidR="00A7279E">
        <w:rPr>
          <w:rFonts w:ascii="Calibri" w:hAnsi="Calibri" w:cs="Calibri"/>
          <w:lang w:val="en-US"/>
        </w:rPr>
        <w:t xml:space="preserve">slijede </w:t>
      </w:r>
      <w:r w:rsidR="00B10C4D">
        <w:rPr>
          <w:rFonts w:ascii="Calibri" w:hAnsi="Calibri" w:cs="Calibri"/>
          <w:lang w:val="en-US"/>
        </w:rPr>
        <w:t>Njema</w:t>
      </w:r>
      <w:r w:rsidR="001B77E4">
        <w:rPr>
          <w:rFonts w:ascii="Calibri" w:hAnsi="Calibri" w:cs="Calibri"/>
          <w:lang w:val="en-US"/>
        </w:rPr>
        <w:t>č</w:t>
      </w:r>
      <w:r w:rsidR="00427C42">
        <w:rPr>
          <w:rFonts w:ascii="Calibri" w:hAnsi="Calibri" w:cs="Calibri"/>
          <w:lang w:val="en-US"/>
        </w:rPr>
        <w:t>k</w:t>
      </w:r>
      <w:r w:rsidR="00A7279E">
        <w:rPr>
          <w:rFonts w:ascii="Calibri" w:hAnsi="Calibri" w:cs="Calibri"/>
          <w:lang w:val="en-US"/>
        </w:rPr>
        <w:t xml:space="preserve">a </w:t>
      </w:r>
      <w:r w:rsidR="00834FDD">
        <w:rPr>
          <w:rFonts w:ascii="Calibri" w:hAnsi="Calibri" w:cs="Calibri"/>
          <w:lang w:val="en-US"/>
        </w:rPr>
        <w:t>i zemlje regiona</w:t>
      </w:r>
      <w:r w:rsidR="00DD7BA2">
        <w:rPr>
          <w:rFonts w:ascii="Calibri" w:hAnsi="Calibri" w:cs="Calibri"/>
          <w:lang w:val="en-US"/>
        </w:rPr>
        <w:t>.</w:t>
      </w:r>
    </w:p>
    <w:p w:rsidR="003E2C60" w:rsidRDefault="003E2C60" w:rsidP="00B10C4D">
      <w:pPr>
        <w:jc w:val="both"/>
        <w:rPr>
          <w:rFonts w:ascii="Calibri" w:hAnsi="Calibri" w:cs="Calibri"/>
          <w:lang w:val="en-US"/>
        </w:rPr>
      </w:pPr>
    </w:p>
    <w:p w:rsidR="001B77E4" w:rsidRDefault="001B77E4" w:rsidP="00B10C4D">
      <w:pPr>
        <w:jc w:val="both"/>
        <w:rPr>
          <w:rFonts w:ascii="Calibri" w:hAnsi="Calibri" w:cs="Calibri"/>
          <w:lang w:val="en-US"/>
        </w:rPr>
      </w:pPr>
    </w:p>
    <w:p w:rsidR="00052AF4" w:rsidRPr="00A21829" w:rsidRDefault="00052AF4" w:rsidP="00052AF4">
      <w:pPr>
        <w:numPr>
          <w:ilvl w:val="0"/>
          <w:numId w:val="7"/>
        </w:numPr>
        <w:rPr>
          <w:rFonts w:ascii="Calibri" w:hAnsi="Calibri" w:cs="Calibri"/>
          <w:b/>
          <w:lang w:val="en-US"/>
        </w:rPr>
      </w:pPr>
      <w:r w:rsidRPr="00A21829">
        <w:rPr>
          <w:rFonts w:ascii="Calibri" w:hAnsi="Calibri" w:cs="Calibri"/>
          <w:b/>
          <w:lang w:val="en-US"/>
        </w:rPr>
        <w:t>Bilansni pokazatelji</w:t>
      </w:r>
    </w:p>
    <w:p w:rsidR="00052AF4" w:rsidRPr="00A21829" w:rsidRDefault="00052AF4" w:rsidP="00052AF4">
      <w:pPr>
        <w:rPr>
          <w:rFonts w:ascii="Calibri" w:hAnsi="Calibri" w:cs="Calibri"/>
          <w:b/>
          <w:lang w:val="en-US"/>
        </w:rPr>
      </w:pPr>
    </w:p>
    <w:p w:rsidR="00052AF4" w:rsidRPr="00A21829" w:rsidRDefault="00052AF4" w:rsidP="00052AF4">
      <w:pPr>
        <w:numPr>
          <w:ilvl w:val="1"/>
          <w:numId w:val="7"/>
        </w:numPr>
        <w:rPr>
          <w:rFonts w:ascii="Calibri" w:hAnsi="Calibri" w:cs="Calibri"/>
          <w:lang w:val="en-US"/>
        </w:rPr>
      </w:pPr>
      <w:r w:rsidRPr="00FE6CEA">
        <w:rPr>
          <w:rFonts w:ascii="Calibri" w:hAnsi="Calibri" w:cs="Calibri"/>
          <w:lang w:val="en-US"/>
        </w:rPr>
        <w:t>Bilans uspjeha za period</w:t>
      </w:r>
      <w:r w:rsidR="003566AC">
        <w:rPr>
          <w:rFonts w:ascii="Calibri" w:hAnsi="Calibri" w:cs="Calibri"/>
          <w:lang w:val="en-US"/>
        </w:rPr>
        <w:t xml:space="preserve"> 01.01.2021</w:t>
      </w:r>
      <w:r w:rsidRPr="00A21829">
        <w:rPr>
          <w:rFonts w:ascii="Calibri" w:hAnsi="Calibri" w:cs="Calibri"/>
          <w:lang w:val="en-US"/>
        </w:rPr>
        <w:t>-3</w:t>
      </w:r>
      <w:r w:rsidR="009D77DC">
        <w:rPr>
          <w:rFonts w:ascii="Calibri" w:hAnsi="Calibri" w:cs="Calibri"/>
          <w:lang w:val="en-US"/>
        </w:rPr>
        <w:t>0</w:t>
      </w:r>
      <w:r w:rsidRPr="00A21829">
        <w:rPr>
          <w:rFonts w:ascii="Calibri" w:hAnsi="Calibri" w:cs="Calibri"/>
          <w:lang w:val="en-US"/>
        </w:rPr>
        <w:t>.</w:t>
      </w:r>
      <w:r w:rsidR="009D77DC">
        <w:rPr>
          <w:rFonts w:ascii="Calibri" w:hAnsi="Calibri" w:cs="Calibri"/>
          <w:lang w:val="en-US"/>
        </w:rPr>
        <w:t>06</w:t>
      </w:r>
      <w:r w:rsidR="003566AC">
        <w:rPr>
          <w:rFonts w:ascii="Calibri" w:hAnsi="Calibri" w:cs="Calibri"/>
          <w:lang w:val="en-US"/>
        </w:rPr>
        <w:t>.2021</w:t>
      </w:r>
      <w:r w:rsidRPr="00A21829">
        <w:rPr>
          <w:rFonts w:ascii="Calibri" w:hAnsi="Calibri" w:cs="Calibri"/>
          <w:lang w:val="en-US"/>
        </w:rPr>
        <w:t>.</w:t>
      </w:r>
    </w:p>
    <w:p w:rsidR="00052AF4" w:rsidRPr="00A21829" w:rsidRDefault="00052AF4" w:rsidP="00052AF4">
      <w:pPr>
        <w:rPr>
          <w:rFonts w:ascii="Calibri" w:hAnsi="Calibri" w:cs="Calibri"/>
          <w:lang w:val="en-US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4740"/>
        <w:gridCol w:w="1780"/>
        <w:gridCol w:w="1460"/>
        <w:gridCol w:w="1540"/>
      </w:tblGrid>
      <w:tr w:rsidR="00012CE6" w:rsidTr="00012CE6">
        <w:trPr>
          <w:trHeight w:val="525"/>
        </w:trPr>
        <w:tc>
          <w:tcPr>
            <w:tcW w:w="474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Pozicija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Tekuća godina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Prethodna godina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Indeks (2/3)*100</w:t>
            </w:r>
          </w:p>
        </w:tc>
      </w:tr>
      <w:tr w:rsidR="00012C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12C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REALIZOVANI PRIHODI I RASHODI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color w:val="000000"/>
                <w:sz w:val="20"/>
                <w:szCs w:val="20"/>
              </w:rPr>
            </w:pPr>
          </w:p>
        </w:tc>
      </w:tr>
      <w:tr w:rsidR="00012C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Poslovni prihodi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9D77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426.967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9D77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643.260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 w:rsidP="002D0A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 w:rsidR="002D0A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 w:rsidR="002D0A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Prihodi od dividendi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2D0A27" w:rsidP="002D0A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170</w:t>
            </w:r>
            <w:r w:rsidR="003566AC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2D0A27" w:rsidP="002D0A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490</w:t>
            </w:r>
            <w:r w:rsidR="003566AC" w:rsidRPr="003566AC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2D0A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34,7</w:t>
            </w:r>
            <w:r w:rsidR="00EF68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Prihodi od kamata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2D0A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69.</w:t>
            </w:r>
            <w:r w:rsidR="003E2C60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2D0A27" w:rsidP="004C73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87.871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2D0A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79,51</w:t>
            </w:r>
            <w:r w:rsidR="00EF68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F68E6" w:rsidTr="00012CE6">
        <w:trPr>
          <w:trHeight w:val="51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Amortizacija premije (diskonta) po osnovu HOV sa fiksnim r. dospi.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2D0A27" w:rsidP="002D0A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32.150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2D0A27" w:rsidP="002D0A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  <w:r w:rsidR="00EF68E6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  <w:r w:rsidR="00EF68E6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2D0A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49,</w:t>
            </w:r>
            <w:r w:rsidR="00EF68E6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EF68E6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Ostali poslovni prihodi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2D0A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154.381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 w:rsidP="004C73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EF68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Realizovani dobitak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2D0A27" w:rsidP="002D0A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1.356</w:t>
            </w:r>
            <w:r w:rsidR="00EF68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777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2D0A27" w:rsidP="004C73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681.456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2D0A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199,10%</w:t>
            </w:r>
          </w:p>
        </w:tc>
      </w:tr>
      <w:tr w:rsidR="00EF68E6" w:rsidTr="00012CE6">
        <w:trPr>
          <w:trHeight w:val="51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Realizovani dobitak po osnovu prodaje hartija od vrijednosti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  <w:r w:rsidR="002D0A27">
              <w:rPr>
                <w:rFonts w:ascii="Calibri" w:hAnsi="Calibri" w:cs="Calibri"/>
                <w:color w:val="000000"/>
                <w:sz w:val="20"/>
                <w:szCs w:val="20"/>
              </w:rPr>
              <w:t>325.628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2D0A27" w:rsidP="004C73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0A27">
              <w:rPr>
                <w:rFonts w:ascii="Calibri" w:hAnsi="Calibri" w:cs="Calibri"/>
                <w:color w:val="000000"/>
                <w:sz w:val="20"/>
                <w:szCs w:val="20"/>
              </w:rPr>
              <w:t>681.456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2D0A27" w:rsidP="002D0A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</w:t>
            </w:r>
            <w:r w:rsidRPr="002D0A27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  <w:r w:rsidRPr="002D0A27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Realizovani dobici po osnovu kursnih razlika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2D0A27" w:rsidP="002D0A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EF68E6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 w:rsidP="004C73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EF68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Ostali realizovani dobici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EF68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 w:rsidP="004C73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EF68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- Poslovni rashodi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  <w:r w:rsidR="002D0A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94.592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2D0A27" w:rsidP="004C73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1.219.552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2D0A27" w:rsidP="00EF68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81,55</w:t>
            </w:r>
            <w:r w:rsidR="00EF68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- Naknada društvu za upravljanje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2D0A27" w:rsidP="002D0A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940</w:t>
            </w:r>
            <w:r w:rsidR="00EF68E6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2D0A27" w:rsidP="004C73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0A27">
              <w:rPr>
                <w:rFonts w:ascii="Calibri" w:hAnsi="Calibri" w:cs="Calibri"/>
                <w:color w:val="000000"/>
                <w:sz w:val="20"/>
                <w:szCs w:val="20"/>
              </w:rPr>
              <w:t>1.219.552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2D0A27" w:rsidP="002D0A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  <w:r w:rsidR="00EF68E6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EF68E6">
              <w:rPr>
                <w:rFonts w:ascii="Calibri" w:hAnsi="Calibri" w:cs="Calibri"/>
                <w:color w:val="000000"/>
                <w:sz w:val="20"/>
                <w:szCs w:val="20"/>
              </w:rPr>
              <w:t>4%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Troškovi kupovine i prodaje ulaganja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2D0A27" w:rsidP="002D0A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  <w:r w:rsidR="00EF68E6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 w:rsidP="004C73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EF68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Realizovani gubitak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2D0A27" w:rsidP="002D0A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  <w:r w:rsidR="001378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2D0A27" w:rsidP="002D0A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658</w:t>
            </w:r>
            <w:r w:rsidR="00EF68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.4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2D0A27" w:rsidP="002D0A2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="00EF68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97</w:t>
            </w:r>
            <w:r w:rsidR="00EF68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Realizovani gubici na prodaji hartija od vrijednosti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2D0A27" w:rsidP="002D0A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13783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2D0A27" w:rsidP="004C73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D0A27">
              <w:rPr>
                <w:rFonts w:ascii="Calibri" w:hAnsi="Calibri" w:cs="Calibri"/>
                <w:color w:val="000000"/>
                <w:sz w:val="20"/>
                <w:szCs w:val="20"/>
              </w:rPr>
              <w:t>658.406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137832" w:rsidP="001378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="00EF68E6">
              <w:rPr>
                <w:rFonts w:ascii="Calibri" w:hAnsi="Calibri" w:cs="Calibri"/>
                <w:color w:val="000000"/>
                <w:sz w:val="20"/>
                <w:szCs w:val="20"/>
              </w:rPr>
              <w:t>,</w:t>
            </w:r>
            <w:r w:rsidR="002D0A27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EF68E6">
              <w:rPr>
                <w:rFonts w:ascii="Calibri" w:hAnsi="Calibri" w:cs="Calibri"/>
                <w:color w:val="000000"/>
                <w:sz w:val="20"/>
                <w:szCs w:val="20"/>
              </w:rPr>
              <w:t>%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-Realizovani gubici po osnovu kursnih razlika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2D0A27" w:rsidP="002D0A2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137832">
              <w:rPr>
                <w:rFonts w:ascii="Calibri" w:hAnsi="Calibri" w:cs="Calibri"/>
                <w:color w:val="000000"/>
                <w:sz w:val="20"/>
                <w:szCs w:val="20"/>
              </w:rPr>
              <w:t>.3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 w:rsidP="004C73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EF68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-Ostali realizovani gubici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EF68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 w:rsidP="004C73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EF68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- Realizovani </w:t>
            </w:r>
            <w:r w:rsidR="001378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dobitak/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gubitak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D93F40" w:rsidP="00D93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763</w:t>
            </w:r>
            <w:r w:rsidR="001378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.01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137832" w:rsidP="00D93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  <w:r w:rsidR="00D93F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553</w:t>
            </w:r>
            <w:r w:rsidR="00EF68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 w:rsidR="00D93F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137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- Realizovani </w:t>
            </w:r>
            <w:r w:rsidR="001378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dobitak/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gubitak prije oporezivanja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D93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93F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763.012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D93F40" w:rsidP="004C73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93F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-553.242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137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- Realizovani </w:t>
            </w:r>
            <w:r w:rsidR="001378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dobitak/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gubitak poslije oporezivanja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D93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93F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763.012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D93F40" w:rsidP="004C73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93F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-553.242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137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Nerealizovani dobici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D93F40" w:rsidP="00D93F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  <w:r w:rsidR="00137832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 w:rsidP="004C73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EF68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Nerealizovani gubici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D93F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30.033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 w:rsidP="004C733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EF68E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Ukupni nerealizovani gubitak/dobitak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137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68E6" w:rsidRDefault="00EF68E6" w:rsidP="004C73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EF68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EF68E6" w:rsidTr="00012CE6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="001378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Povećanje/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Smanjenje neto imovine fonda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D93F40" w:rsidP="00D93F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759</w:t>
            </w:r>
            <w:r w:rsidR="00137832" w:rsidRPr="001378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EF68E6" w:rsidRDefault="00D93F40" w:rsidP="004C73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D93F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-553.242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EF68E6" w:rsidRDefault="00137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EF68E6" w:rsidTr="00012CE6">
        <w:trPr>
          <w:trHeight w:val="315"/>
        </w:trPr>
        <w:tc>
          <w:tcPr>
            <w:tcW w:w="474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EF68E6" w:rsidRDefault="00EF68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Obična zarada po udjelu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EF68E6" w:rsidRDefault="00EF68E6" w:rsidP="00137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0,</w:t>
            </w:r>
            <w:r w:rsidR="001378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  <w:r w:rsidR="00D93F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EF68E6" w:rsidRDefault="00D93F40" w:rsidP="004C73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-0,097</w:t>
            </w:r>
            <w:r w:rsidR="00EF68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EF68E6" w:rsidRDefault="00EF68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:rsidR="00052AF4" w:rsidRPr="00A21829" w:rsidRDefault="00052AF4" w:rsidP="00052AF4">
      <w:pPr>
        <w:rPr>
          <w:rFonts w:ascii="Calibri" w:hAnsi="Calibri" w:cs="Calibri"/>
          <w:lang w:val="en-US"/>
        </w:rPr>
      </w:pPr>
    </w:p>
    <w:p w:rsidR="00052AF4" w:rsidRPr="00633A55" w:rsidRDefault="00052AF4" w:rsidP="00052AF4">
      <w:pPr>
        <w:jc w:val="both"/>
        <w:rPr>
          <w:rFonts w:ascii="Calibri" w:hAnsi="Calibri" w:cs="Calibri"/>
          <w:lang w:val="en-US"/>
        </w:rPr>
      </w:pPr>
      <w:r w:rsidRPr="00633A55">
        <w:rPr>
          <w:rFonts w:ascii="Calibri" w:hAnsi="Calibri" w:cs="Calibri"/>
          <w:lang w:val="en-US"/>
        </w:rPr>
        <w:t xml:space="preserve">U </w:t>
      </w:r>
      <w:r w:rsidR="00D93F40">
        <w:rPr>
          <w:rFonts w:ascii="Calibri" w:hAnsi="Calibri" w:cs="Calibri"/>
          <w:lang w:val="en-US"/>
        </w:rPr>
        <w:t>prvom polugodištu</w:t>
      </w:r>
      <w:r w:rsidR="003E2C60">
        <w:rPr>
          <w:rFonts w:ascii="Calibri" w:hAnsi="Calibri" w:cs="Calibri"/>
          <w:lang w:val="en-US"/>
        </w:rPr>
        <w:t xml:space="preserve"> 2021</w:t>
      </w:r>
      <w:r w:rsidR="00012CE6">
        <w:rPr>
          <w:rFonts w:ascii="Calibri" w:hAnsi="Calibri" w:cs="Calibri"/>
          <w:lang w:val="en-US"/>
        </w:rPr>
        <w:t>.godine</w:t>
      </w:r>
      <w:r w:rsidRPr="00633A55">
        <w:rPr>
          <w:rFonts w:ascii="Calibri" w:hAnsi="Calibri" w:cs="Calibri"/>
          <w:lang w:val="en-US"/>
        </w:rPr>
        <w:t xml:space="preserve"> poslovni prihodi Fonda iznose </w:t>
      </w:r>
      <w:r w:rsidR="00D93F40">
        <w:rPr>
          <w:rFonts w:ascii="Calibri" w:hAnsi="Calibri" w:cs="Calibri"/>
          <w:lang w:val="en-US"/>
        </w:rPr>
        <w:t>426.967</w:t>
      </w:r>
      <w:r w:rsidR="00C57530">
        <w:rPr>
          <w:rFonts w:ascii="Calibri" w:hAnsi="Calibri" w:cs="Calibri"/>
          <w:lang w:val="en-US"/>
        </w:rPr>
        <w:t xml:space="preserve"> </w:t>
      </w:r>
      <w:r w:rsidRPr="00633A55">
        <w:rPr>
          <w:rFonts w:ascii="Calibri" w:hAnsi="Calibri" w:cs="Calibri"/>
          <w:lang w:val="en-US"/>
        </w:rPr>
        <w:t>KM</w:t>
      </w:r>
      <w:r w:rsidR="003E2C60">
        <w:rPr>
          <w:rFonts w:ascii="Calibri" w:hAnsi="Calibri" w:cs="Calibri"/>
          <w:lang w:val="en-US"/>
        </w:rPr>
        <w:t xml:space="preserve"> a najveći dio se odnosi na</w:t>
      </w:r>
      <w:r w:rsidR="00D93F40">
        <w:rPr>
          <w:rFonts w:ascii="Calibri" w:hAnsi="Calibri" w:cs="Calibri"/>
          <w:lang w:val="en-US"/>
        </w:rPr>
        <w:t xml:space="preserve"> prihode od dividendi te na</w:t>
      </w:r>
      <w:r w:rsidR="003E2C60">
        <w:rPr>
          <w:rFonts w:ascii="Calibri" w:hAnsi="Calibri" w:cs="Calibri"/>
          <w:lang w:val="en-US"/>
        </w:rPr>
        <w:t xml:space="preserve"> ostale poslovne prihode.</w:t>
      </w:r>
      <w:r w:rsidR="003E2C60" w:rsidRPr="003E2C60">
        <w:t xml:space="preserve"> </w:t>
      </w:r>
      <w:r w:rsidR="003E2C60" w:rsidRPr="003E2C60">
        <w:rPr>
          <w:rFonts w:ascii="Calibri" w:hAnsi="Calibri" w:cs="Calibri"/>
          <w:lang w:val="en-US"/>
        </w:rPr>
        <w:t>Ostali poslovni prihodi se odnose na povrat poreza na isplaćenu dividendu od strane Ministarstva finansija Republike Slovenije. Dru</w:t>
      </w:r>
      <w:r w:rsidR="003E2C60">
        <w:rPr>
          <w:rFonts w:ascii="Calibri" w:hAnsi="Calibri" w:cs="Calibri"/>
          <w:lang w:val="en-US"/>
        </w:rPr>
        <w:t>štvo za upravljanje je, u ime OA</w:t>
      </w:r>
      <w:r w:rsidR="003E2C60" w:rsidRPr="003E2C60">
        <w:rPr>
          <w:rFonts w:ascii="Calibri" w:hAnsi="Calibri" w:cs="Calibri"/>
          <w:lang w:val="en-US"/>
        </w:rPr>
        <w:t xml:space="preserve">IF </w:t>
      </w:r>
      <w:r w:rsidR="003E2C60">
        <w:rPr>
          <w:rFonts w:ascii="Calibri" w:hAnsi="Calibri" w:cs="Calibri"/>
          <w:lang w:val="en-US"/>
        </w:rPr>
        <w:t>Future</w:t>
      </w:r>
      <w:r w:rsidR="003E2C60" w:rsidRPr="003E2C60">
        <w:rPr>
          <w:rFonts w:ascii="Calibri" w:hAnsi="Calibri" w:cs="Calibri"/>
          <w:lang w:val="en-US"/>
        </w:rPr>
        <w:t xml:space="preserve"> fund, tokom 2020. godine podnijelo zahtjev za povrat poreza po osnovu dividendi isplaćenih od strane emitenata iz Republike Slovenije, i taj prihod je realizovan u prvom kvartalu 2021 godine.</w:t>
      </w:r>
      <w:r w:rsidR="00427C42">
        <w:rPr>
          <w:rFonts w:ascii="Calibri" w:hAnsi="Calibri" w:cs="Calibri"/>
          <w:lang w:val="en-US"/>
        </w:rPr>
        <w:t xml:space="preserve"> </w:t>
      </w:r>
      <w:r w:rsidR="003E2C60">
        <w:rPr>
          <w:rFonts w:ascii="Calibri" w:hAnsi="Calibri" w:cs="Calibri"/>
          <w:lang w:val="en-US"/>
        </w:rPr>
        <w:t>Prihodi</w:t>
      </w:r>
      <w:r w:rsidR="00AE59CD" w:rsidRPr="00633A55">
        <w:rPr>
          <w:rFonts w:ascii="Calibri" w:hAnsi="Calibri" w:cs="Calibri"/>
          <w:lang w:val="en-US"/>
        </w:rPr>
        <w:t xml:space="preserve"> iz redovnog poslovanja, to jest </w:t>
      </w:r>
      <w:r w:rsidR="003E2C60">
        <w:rPr>
          <w:rFonts w:ascii="Calibri" w:hAnsi="Calibri" w:cs="Calibri"/>
          <w:lang w:val="en-US"/>
        </w:rPr>
        <w:t>prihodi</w:t>
      </w:r>
      <w:r w:rsidR="00960BFD" w:rsidRPr="00633A55">
        <w:rPr>
          <w:rFonts w:ascii="Calibri" w:hAnsi="Calibri" w:cs="Calibri"/>
          <w:lang w:val="en-US"/>
        </w:rPr>
        <w:t xml:space="preserve"> od dividendi, </w:t>
      </w:r>
      <w:r w:rsidR="003E2C60">
        <w:rPr>
          <w:rFonts w:ascii="Calibri" w:hAnsi="Calibri" w:cs="Calibri"/>
          <w:lang w:val="en-US"/>
        </w:rPr>
        <w:t>prihodi</w:t>
      </w:r>
      <w:r w:rsidR="00AE59CD" w:rsidRPr="00633A55">
        <w:rPr>
          <w:rFonts w:ascii="Calibri" w:hAnsi="Calibri" w:cs="Calibri"/>
          <w:lang w:val="en-US"/>
        </w:rPr>
        <w:t xml:space="preserve"> od kamata i amortizacije po osnovu hartija sa fiksnim rokom dospijeća</w:t>
      </w:r>
      <w:r w:rsidR="00D93F40">
        <w:rPr>
          <w:rFonts w:ascii="Calibri" w:hAnsi="Calibri" w:cs="Calibri"/>
          <w:lang w:val="en-US"/>
        </w:rPr>
        <w:t xml:space="preserve"> su u prvom polugodištu</w:t>
      </w:r>
      <w:r w:rsidR="003E2C60">
        <w:rPr>
          <w:rFonts w:ascii="Calibri" w:hAnsi="Calibri" w:cs="Calibri"/>
          <w:lang w:val="en-US"/>
        </w:rPr>
        <w:t xml:space="preserve"> 2021 godine značajno manji u poređenju sa istim periodom prethodne godine te su ukupni p</w:t>
      </w:r>
      <w:r w:rsidR="00012CE6">
        <w:rPr>
          <w:rFonts w:ascii="Calibri" w:hAnsi="Calibri" w:cs="Calibri"/>
          <w:lang w:val="en-US"/>
        </w:rPr>
        <w:t>oslov</w:t>
      </w:r>
      <w:r w:rsidR="003E2C60">
        <w:rPr>
          <w:rFonts w:ascii="Calibri" w:hAnsi="Calibri" w:cs="Calibri"/>
          <w:lang w:val="en-US"/>
        </w:rPr>
        <w:t xml:space="preserve">ni prihodi u prvom </w:t>
      </w:r>
      <w:r w:rsidR="00D93F40" w:rsidRPr="00D93F40">
        <w:rPr>
          <w:rFonts w:ascii="Calibri" w:hAnsi="Calibri" w:cs="Calibri"/>
          <w:lang w:val="en-US"/>
        </w:rPr>
        <w:t>polugodištu</w:t>
      </w:r>
      <w:r w:rsidR="003E2C60">
        <w:rPr>
          <w:rFonts w:ascii="Calibri" w:hAnsi="Calibri" w:cs="Calibri"/>
          <w:lang w:val="en-US"/>
        </w:rPr>
        <w:t xml:space="preserve"> 2021</w:t>
      </w:r>
      <w:r w:rsidR="00012CE6">
        <w:rPr>
          <w:rFonts w:ascii="Calibri" w:hAnsi="Calibri" w:cs="Calibri"/>
          <w:lang w:val="en-US"/>
        </w:rPr>
        <w:t>.godine</w:t>
      </w:r>
      <w:r w:rsidR="00FE6CEA">
        <w:rPr>
          <w:rFonts w:ascii="Calibri" w:hAnsi="Calibri" w:cs="Calibri"/>
          <w:lang w:val="en-US"/>
        </w:rPr>
        <w:t xml:space="preserve"> za </w:t>
      </w:r>
      <w:r w:rsidR="00D93F40">
        <w:rPr>
          <w:rFonts w:ascii="Calibri" w:hAnsi="Calibri" w:cs="Calibri"/>
          <w:lang w:val="en-US"/>
        </w:rPr>
        <w:t>33,62</w:t>
      </w:r>
      <w:r w:rsidR="003E2C60">
        <w:rPr>
          <w:rFonts w:ascii="Calibri" w:hAnsi="Calibri" w:cs="Calibri"/>
          <w:lang w:val="en-US"/>
        </w:rPr>
        <w:t>% manji</w:t>
      </w:r>
      <w:r w:rsidR="00FE6CEA">
        <w:rPr>
          <w:rFonts w:ascii="Calibri" w:hAnsi="Calibri" w:cs="Calibri"/>
          <w:lang w:val="en-US"/>
        </w:rPr>
        <w:t xml:space="preserve"> u odnosu na </w:t>
      </w:r>
      <w:r w:rsidR="00012CE6">
        <w:rPr>
          <w:rFonts w:ascii="Calibri" w:hAnsi="Calibri" w:cs="Calibri"/>
          <w:lang w:val="en-US"/>
        </w:rPr>
        <w:t>isti period prošle godine</w:t>
      </w:r>
      <w:r w:rsidR="003E2C60">
        <w:rPr>
          <w:rFonts w:ascii="Calibri" w:hAnsi="Calibri" w:cs="Calibri"/>
          <w:lang w:val="en-US"/>
        </w:rPr>
        <w:t>.</w:t>
      </w:r>
    </w:p>
    <w:p w:rsidR="00052AF4" w:rsidRPr="00633A55" w:rsidRDefault="00052AF4" w:rsidP="00052AF4">
      <w:pPr>
        <w:jc w:val="both"/>
        <w:rPr>
          <w:rFonts w:ascii="Calibri" w:hAnsi="Calibri" w:cs="Calibri"/>
          <w:lang w:val="en-US"/>
        </w:rPr>
      </w:pPr>
    </w:p>
    <w:p w:rsidR="00055F28" w:rsidRDefault="00D33A51" w:rsidP="001B77E4">
      <w:pPr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Poslovni r</w:t>
      </w:r>
      <w:r w:rsidR="00052AF4" w:rsidRPr="00633A55">
        <w:rPr>
          <w:rFonts w:ascii="Calibri" w:hAnsi="Calibri" w:cs="Calibri"/>
          <w:lang w:val="en-US"/>
        </w:rPr>
        <w:t xml:space="preserve">ashodi Fonda u </w:t>
      </w:r>
      <w:r w:rsidR="00012CE6">
        <w:rPr>
          <w:rFonts w:ascii="Calibri" w:hAnsi="Calibri" w:cs="Calibri"/>
          <w:lang w:val="en-US"/>
        </w:rPr>
        <w:t xml:space="preserve">prvom </w:t>
      </w:r>
      <w:r w:rsidR="00D93F40" w:rsidRPr="00D93F40">
        <w:rPr>
          <w:rFonts w:ascii="Calibri" w:hAnsi="Calibri" w:cs="Calibri"/>
          <w:lang w:val="en-US"/>
        </w:rPr>
        <w:t>polugodištu</w:t>
      </w:r>
      <w:r w:rsidR="00012CE6">
        <w:rPr>
          <w:rFonts w:ascii="Calibri" w:hAnsi="Calibri" w:cs="Calibri"/>
          <w:lang w:val="en-US"/>
        </w:rPr>
        <w:t xml:space="preserve"> tekuće godine</w:t>
      </w:r>
      <w:r w:rsidR="00052AF4" w:rsidRPr="00633A55">
        <w:rPr>
          <w:rFonts w:ascii="Calibri" w:hAnsi="Calibri" w:cs="Calibri"/>
          <w:lang w:val="en-US"/>
        </w:rPr>
        <w:t xml:space="preserve"> iznose </w:t>
      </w:r>
      <w:r w:rsidR="00CE7A18">
        <w:rPr>
          <w:rFonts w:ascii="Calibri" w:hAnsi="Calibri" w:cs="Calibri"/>
          <w:lang w:val="en-US"/>
        </w:rPr>
        <w:t>994</w:t>
      </w:r>
      <w:r w:rsidR="003E2C60">
        <w:rPr>
          <w:rFonts w:ascii="Calibri" w:hAnsi="Calibri" w:cs="Calibri"/>
          <w:lang w:val="en-US"/>
        </w:rPr>
        <w:t>.</w:t>
      </w:r>
      <w:r w:rsidR="00CE7A18">
        <w:rPr>
          <w:rFonts w:ascii="Calibri" w:hAnsi="Calibri" w:cs="Calibri"/>
          <w:lang w:val="en-US"/>
        </w:rPr>
        <w:t>592</w:t>
      </w:r>
      <w:r w:rsidR="003E2C60">
        <w:rPr>
          <w:rFonts w:ascii="Calibri" w:hAnsi="Calibri" w:cs="Calibri"/>
          <w:lang w:val="en-US"/>
        </w:rPr>
        <w:t xml:space="preserve"> </w:t>
      </w:r>
      <w:r w:rsidR="00052AF4" w:rsidRPr="00633A55">
        <w:rPr>
          <w:rFonts w:ascii="Calibri" w:hAnsi="Calibri" w:cs="Calibri"/>
          <w:lang w:val="en-US"/>
        </w:rPr>
        <w:t xml:space="preserve">KM, </w:t>
      </w:r>
      <w:r w:rsidR="00012CE6">
        <w:rPr>
          <w:rFonts w:ascii="Calibri" w:hAnsi="Calibri" w:cs="Calibri"/>
          <w:lang w:val="en-US"/>
        </w:rPr>
        <w:t>i</w:t>
      </w:r>
      <w:r w:rsidR="003E2C60">
        <w:rPr>
          <w:rFonts w:ascii="Calibri" w:hAnsi="Calibri" w:cs="Calibri"/>
          <w:lang w:val="en-US"/>
        </w:rPr>
        <w:t xml:space="preserve"> najvećim dijelom</w:t>
      </w:r>
      <w:r w:rsidR="00055F28">
        <w:rPr>
          <w:rFonts w:ascii="Calibri" w:hAnsi="Calibri" w:cs="Calibri"/>
          <w:lang w:val="en-US"/>
        </w:rPr>
        <w:t xml:space="preserve"> se odnose</w:t>
      </w:r>
      <w:r w:rsidR="00052AF4" w:rsidRPr="00633A55">
        <w:rPr>
          <w:rFonts w:ascii="Calibri" w:hAnsi="Calibri" w:cs="Calibri"/>
          <w:lang w:val="en-US"/>
        </w:rPr>
        <w:t xml:space="preserve"> na naknadu društvu za upra</w:t>
      </w:r>
      <w:r w:rsidR="00960BFD" w:rsidRPr="00633A55">
        <w:rPr>
          <w:rFonts w:ascii="Calibri" w:hAnsi="Calibri" w:cs="Calibri"/>
          <w:lang w:val="en-US"/>
        </w:rPr>
        <w:t>v</w:t>
      </w:r>
      <w:r w:rsidR="00012CE6">
        <w:rPr>
          <w:rFonts w:ascii="Calibri" w:hAnsi="Calibri" w:cs="Calibri"/>
          <w:lang w:val="en-US"/>
        </w:rPr>
        <w:t>ljanje</w:t>
      </w:r>
      <w:r w:rsidR="003E2C60">
        <w:rPr>
          <w:rFonts w:ascii="Calibri" w:hAnsi="Calibri" w:cs="Calibri"/>
          <w:lang w:val="en-US"/>
        </w:rPr>
        <w:t xml:space="preserve"> a ostatak na troškove kupovine I prodaje ulaganja</w:t>
      </w:r>
      <w:r w:rsidR="00012CE6">
        <w:rPr>
          <w:rFonts w:ascii="Calibri" w:hAnsi="Calibri" w:cs="Calibri"/>
          <w:lang w:val="en-US"/>
        </w:rPr>
        <w:t>.</w:t>
      </w:r>
      <w:r w:rsidR="00932BEC" w:rsidRPr="00932BEC">
        <w:t xml:space="preserve"> </w:t>
      </w:r>
      <w:r w:rsidR="00932BEC">
        <w:rPr>
          <w:rFonts w:ascii="Calibri" w:hAnsi="Calibri" w:cs="Calibri"/>
          <w:lang w:val="en-US"/>
        </w:rPr>
        <w:t>N</w:t>
      </w:r>
      <w:r w:rsidR="00932BEC" w:rsidRPr="00932BEC">
        <w:rPr>
          <w:rFonts w:ascii="Calibri" w:hAnsi="Calibri" w:cs="Calibri"/>
          <w:lang w:val="en-US"/>
        </w:rPr>
        <w:t xml:space="preserve">eophodno napomenuti da je zbog promjene računovodstvenih standarda od 01.01.2021. godine svi troškovi kupoprodaje akcija se terete na bilans uspjeha kao trošak jer se sva imovina fonda u akcijama klasifikuje po fer </w:t>
      </w:r>
      <w:r w:rsidR="00932BEC">
        <w:rPr>
          <w:rFonts w:ascii="Calibri" w:hAnsi="Calibri" w:cs="Calibri"/>
          <w:lang w:val="en-US"/>
        </w:rPr>
        <w:t>vrijednosti kroz bilans uspjeha</w:t>
      </w:r>
      <w:r w:rsidR="00932BEC" w:rsidRPr="00932BEC">
        <w:rPr>
          <w:rFonts w:ascii="Calibri" w:hAnsi="Calibri" w:cs="Calibri"/>
          <w:lang w:val="en-US"/>
        </w:rPr>
        <w:t>.</w:t>
      </w:r>
      <w:r w:rsidR="00012CE6">
        <w:rPr>
          <w:rFonts w:ascii="Calibri" w:hAnsi="Calibri" w:cs="Calibri"/>
          <w:lang w:val="en-US"/>
        </w:rPr>
        <w:t xml:space="preserve"> Poslov</w:t>
      </w:r>
      <w:r w:rsidR="00932BEC">
        <w:rPr>
          <w:rFonts w:ascii="Calibri" w:hAnsi="Calibri" w:cs="Calibri"/>
          <w:lang w:val="en-US"/>
        </w:rPr>
        <w:t>ni rashodi u prvom</w:t>
      </w:r>
      <w:r w:rsidR="00CE7A18" w:rsidRPr="00CE7A18">
        <w:t xml:space="preserve"> </w:t>
      </w:r>
      <w:r w:rsidR="00CE7A18" w:rsidRPr="00CE7A18">
        <w:rPr>
          <w:rFonts w:ascii="Calibri" w:hAnsi="Calibri" w:cs="Calibri"/>
          <w:lang w:val="en-US"/>
        </w:rPr>
        <w:t xml:space="preserve">polugodištu </w:t>
      </w:r>
      <w:r w:rsidR="00932BEC">
        <w:rPr>
          <w:rFonts w:ascii="Calibri" w:hAnsi="Calibri" w:cs="Calibri"/>
          <w:lang w:val="en-US"/>
        </w:rPr>
        <w:t>2021</w:t>
      </w:r>
      <w:r w:rsidR="00055F28">
        <w:rPr>
          <w:rFonts w:ascii="Calibri" w:hAnsi="Calibri" w:cs="Calibri"/>
          <w:lang w:val="en-US"/>
        </w:rPr>
        <w:t>.</w:t>
      </w:r>
      <w:r w:rsidR="00A035A1">
        <w:rPr>
          <w:rFonts w:ascii="Calibri" w:hAnsi="Calibri" w:cs="Calibri"/>
          <w:lang w:val="en-US"/>
        </w:rPr>
        <w:t>godin</w:t>
      </w:r>
      <w:r w:rsidR="00012CE6">
        <w:rPr>
          <w:rFonts w:ascii="Calibri" w:hAnsi="Calibri" w:cs="Calibri"/>
          <w:lang w:val="en-US"/>
        </w:rPr>
        <w:t>e</w:t>
      </w:r>
      <w:r w:rsidR="00A035A1">
        <w:rPr>
          <w:rFonts w:ascii="Calibri" w:hAnsi="Calibri" w:cs="Calibri"/>
          <w:lang w:val="en-US"/>
        </w:rPr>
        <w:t xml:space="preserve"> su </w:t>
      </w:r>
      <w:r w:rsidR="00932BEC">
        <w:rPr>
          <w:rFonts w:ascii="Calibri" w:hAnsi="Calibri" w:cs="Calibri"/>
          <w:lang w:val="en-US"/>
        </w:rPr>
        <w:t>za 1</w:t>
      </w:r>
      <w:r w:rsidR="00CE7A18">
        <w:rPr>
          <w:rFonts w:ascii="Calibri" w:hAnsi="Calibri" w:cs="Calibri"/>
          <w:lang w:val="en-US"/>
        </w:rPr>
        <w:t>8</w:t>
      </w:r>
      <w:r w:rsidR="00C57530">
        <w:rPr>
          <w:rFonts w:ascii="Calibri" w:hAnsi="Calibri" w:cs="Calibri"/>
          <w:lang w:val="en-US"/>
        </w:rPr>
        <w:t>,4</w:t>
      </w:r>
      <w:r w:rsidR="00CE7A18">
        <w:rPr>
          <w:rFonts w:ascii="Calibri" w:hAnsi="Calibri" w:cs="Calibri"/>
          <w:lang w:val="en-US"/>
        </w:rPr>
        <w:t>5</w:t>
      </w:r>
      <w:r w:rsidR="00C57530">
        <w:rPr>
          <w:rFonts w:ascii="Calibri" w:hAnsi="Calibri" w:cs="Calibri"/>
          <w:lang w:val="en-US"/>
        </w:rPr>
        <w:t>% manji u odnosu na isti</w:t>
      </w:r>
      <w:r w:rsidR="00012CE6">
        <w:rPr>
          <w:rFonts w:ascii="Calibri" w:hAnsi="Calibri" w:cs="Calibri"/>
          <w:lang w:val="en-US"/>
        </w:rPr>
        <w:t xml:space="preserve"> period prošle godine</w:t>
      </w:r>
      <w:r w:rsidR="00932BEC">
        <w:rPr>
          <w:rFonts w:ascii="Calibri" w:hAnsi="Calibri" w:cs="Calibri"/>
          <w:lang w:val="en-US"/>
        </w:rPr>
        <w:t xml:space="preserve"> prvenstveno zbog manje provizije</w:t>
      </w:r>
      <w:r w:rsidR="00960BFD" w:rsidRPr="00633A55">
        <w:rPr>
          <w:rFonts w:ascii="Calibri" w:hAnsi="Calibri" w:cs="Calibri"/>
          <w:lang w:val="en-US"/>
        </w:rPr>
        <w:t xml:space="preserve"> Društva </w:t>
      </w:r>
      <w:r w:rsidR="00932BEC">
        <w:rPr>
          <w:rFonts w:ascii="Calibri" w:hAnsi="Calibri" w:cs="Calibri"/>
          <w:lang w:val="en-US"/>
        </w:rPr>
        <w:t xml:space="preserve">za upravljanje </w:t>
      </w:r>
      <w:r w:rsidR="00960BFD" w:rsidRPr="00633A55">
        <w:rPr>
          <w:rFonts w:ascii="Calibri" w:hAnsi="Calibri" w:cs="Calibri"/>
          <w:lang w:val="en-US"/>
        </w:rPr>
        <w:t xml:space="preserve">i </w:t>
      </w:r>
      <w:r w:rsidR="00932BEC">
        <w:rPr>
          <w:rFonts w:ascii="Calibri" w:hAnsi="Calibri" w:cs="Calibri"/>
          <w:lang w:val="en-US"/>
        </w:rPr>
        <w:t>posljedice smanjenja neto vrijednosti imovine zbog iskupa vlasnika udjela</w:t>
      </w:r>
      <w:r w:rsidR="00960BFD" w:rsidRPr="00633A55">
        <w:rPr>
          <w:rFonts w:ascii="Calibri" w:hAnsi="Calibri" w:cs="Calibri"/>
          <w:lang w:val="en-US"/>
        </w:rPr>
        <w:t>.</w:t>
      </w:r>
    </w:p>
    <w:p w:rsidR="00932BEC" w:rsidRDefault="00932BEC" w:rsidP="001B77E4">
      <w:pPr>
        <w:jc w:val="both"/>
        <w:rPr>
          <w:rFonts w:ascii="Calibri" w:hAnsi="Calibri" w:cs="Calibri"/>
          <w:lang w:val="en-US"/>
        </w:rPr>
      </w:pPr>
    </w:p>
    <w:p w:rsidR="00052AF4" w:rsidRPr="00012CE6" w:rsidRDefault="00932BEC" w:rsidP="001B77E4">
      <w:pPr>
        <w:jc w:val="both"/>
        <w:rPr>
          <w:rFonts w:ascii="Calibri" w:hAnsi="Calibri" w:cs="Calibri"/>
          <w:lang w:val="de-DE"/>
        </w:rPr>
      </w:pPr>
      <w:r>
        <w:rPr>
          <w:rFonts w:ascii="Calibri" w:hAnsi="Calibri" w:cs="Calibri"/>
          <w:lang w:val="de-DE"/>
        </w:rPr>
        <w:t>U periodu 01.01.2021</w:t>
      </w:r>
      <w:r w:rsidR="00052AF4" w:rsidRPr="00012CE6">
        <w:rPr>
          <w:rFonts w:ascii="Calibri" w:hAnsi="Calibri" w:cs="Calibri"/>
          <w:lang w:val="de-DE"/>
        </w:rPr>
        <w:t>-3</w:t>
      </w:r>
      <w:r w:rsidR="00CE7A18">
        <w:rPr>
          <w:rFonts w:ascii="Calibri" w:hAnsi="Calibri" w:cs="Calibri"/>
          <w:lang w:val="de-DE"/>
        </w:rPr>
        <w:t>0</w:t>
      </w:r>
      <w:r w:rsidR="00267093" w:rsidRPr="00012CE6">
        <w:rPr>
          <w:rFonts w:ascii="Calibri" w:hAnsi="Calibri" w:cs="Calibri"/>
          <w:lang w:val="de-DE"/>
        </w:rPr>
        <w:t>.</w:t>
      </w:r>
      <w:r w:rsidR="00CE7A18">
        <w:rPr>
          <w:rFonts w:ascii="Calibri" w:hAnsi="Calibri" w:cs="Calibri"/>
          <w:lang w:val="de-DE"/>
        </w:rPr>
        <w:t>06</w:t>
      </w:r>
      <w:r>
        <w:rPr>
          <w:rFonts w:ascii="Calibri" w:hAnsi="Calibri" w:cs="Calibri"/>
          <w:lang w:val="de-DE"/>
        </w:rPr>
        <w:t>.2021</w:t>
      </w:r>
      <w:r w:rsidR="00052AF4" w:rsidRPr="00012CE6">
        <w:rPr>
          <w:rFonts w:ascii="Calibri" w:hAnsi="Calibri" w:cs="Calibri"/>
          <w:lang w:val="de-DE"/>
        </w:rPr>
        <w:t xml:space="preserve">.godine ostvaren je </w:t>
      </w:r>
      <w:r>
        <w:rPr>
          <w:rFonts w:ascii="Calibri" w:hAnsi="Calibri" w:cs="Calibri"/>
          <w:lang w:val="de-DE"/>
        </w:rPr>
        <w:t>do</w:t>
      </w:r>
      <w:r w:rsidR="00012CE6" w:rsidRPr="00012CE6">
        <w:rPr>
          <w:rFonts w:ascii="Calibri" w:hAnsi="Calibri" w:cs="Calibri"/>
          <w:lang w:val="de-DE"/>
        </w:rPr>
        <w:t>bitak</w:t>
      </w:r>
      <w:r>
        <w:rPr>
          <w:rFonts w:ascii="Calibri" w:hAnsi="Calibri" w:cs="Calibri"/>
          <w:lang w:val="de-DE"/>
        </w:rPr>
        <w:t xml:space="preserve"> </w:t>
      </w:r>
      <w:r w:rsidR="00052AF4" w:rsidRPr="00012CE6">
        <w:rPr>
          <w:rFonts w:ascii="Calibri" w:hAnsi="Calibri" w:cs="Calibri"/>
          <w:lang w:val="de-DE"/>
        </w:rPr>
        <w:t xml:space="preserve">od </w:t>
      </w:r>
      <w:r w:rsidR="00CE7A18">
        <w:rPr>
          <w:rFonts w:ascii="Calibri" w:hAnsi="Calibri" w:cs="Arial"/>
          <w:color w:val="000000"/>
          <w:sz w:val="22"/>
          <w:szCs w:val="22"/>
        </w:rPr>
        <w:t>759</w:t>
      </w:r>
      <w:r>
        <w:rPr>
          <w:rFonts w:ascii="Calibri" w:hAnsi="Calibri" w:cs="Arial"/>
          <w:color w:val="000000"/>
          <w:sz w:val="22"/>
          <w:szCs w:val="22"/>
        </w:rPr>
        <w:t>.</w:t>
      </w:r>
      <w:r w:rsidR="00CE7A18">
        <w:rPr>
          <w:rFonts w:ascii="Calibri" w:hAnsi="Calibri" w:cs="Arial"/>
          <w:color w:val="000000"/>
          <w:sz w:val="22"/>
          <w:szCs w:val="22"/>
        </w:rPr>
        <w:t>030</w:t>
      </w:r>
      <w:r w:rsidR="00C57530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52AF4" w:rsidRPr="00012CE6">
        <w:rPr>
          <w:rFonts w:ascii="Calibri" w:hAnsi="Calibri" w:cs="Calibri"/>
          <w:sz w:val="22"/>
          <w:szCs w:val="22"/>
          <w:lang w:val="de-DE"/>
        </w:rPr>
        <w:t>KM</w:t>
      </w:r>
      <w:r w:rsidR="003775EE" w:rsidRPr="00012CE6">
        <w:rPr>
          <w:rFonts w:ascii="Calibri" w:hAnsi="Calibri" w:cs="Calibri"/>
          <w:sz w:val="22"/>
          <w:szCs w:val="22"/>
          <w:lang w:val="de-DE"/>
        </w:rPr>
        <w:t>,</w:t>
      </w:r>
      <w:r w:rsidR="00633A55" w:rsidRPr="00012CE6">
        <w:rPr>
          <w:rFonts w:ascii="Calibri" w:hAnsi="Calibri" w:cs="Calibri"/>
          <w:lang w:val="de-DE"/>
        </w:rPr>
        <w:t xml:space="preserve"> odnosno </w:t>
      </w:r>
      <w:r>
        <w:rPr>
          <w:rFonts w:ascii="Calibri" w:hAnsi="Calibri" w:cs="Calibri"/>
          <w:lang w:val="de-DE"/>
        </w:rPr>
        <w:t>do</w:t>
      </w:r>
      <w:r w:rsidR="00012CE6" w:rsidRPr="00012CE6">
        <w:rPr>
          <w:rFonts w:ascii="Calibri" w:hAnsi="Calibri" w:cs="Calibri"/>
          <w:lang w:val="de-DE"/>
        </w:rPr>
        <w:t>bitak</w:t>
      </w:r>
      <w:r w:rsidR="00633A55" w:rsidRPr="00012CE6">
        <w:rPr>
          <w:rFonts w:ascii="Calibri" w:hAnsi="Calibri" w:cs="Calibri"/>
          <w:lang w:val="de-DE"/>
        </w:rPr>
        <w:t xml:space="preserve"> po udjelu </w:t>
      </w:r>
      <w:r w:rsidR="001B77E4" w:rsidRPr="00012CE6">
        <w:rPr>
          <w:rFonts w:ascii="Calibri" w:hAnsi="Calibri" w:cs="Calibri"/>
          <w:lang w:val="de-DE"/>
        </w:rPr>
        <w:t xml:space="preserve">od </w:t>
      </w:r>
      <w:r w:rsidR="00CE7A18">
        <w:rPr>
          <w:rFonts w:ascii="Calibri" w:hAnsi="Calibri" w:cs="Calibri"/>
          <w:lang w:val="de-DE"/>
        </w:rPr>
        <w:t>0,1</w:t>
      </w:r>
      <w:r>
        <w:rPr>
          <w:rFonts w:ascii="Calibri" w:hAnsi="Calibri" w:cs="Calibri"/>
          <w:lang w:val="de-DE"/>
        </w:rPr>
        <w:t>7</w:t>
      </w:r>
      <w:r w:rsidR="00CE7A18">
        <w:rPr>
          <w:rFonts w:ascii="Calibri" w:hAnsi="Calibri" w:cs="Calibri"/>
          <w:lang w:val="de-DE"/>
        </w:rPr>
        <w:t>06</w:t>
      </w:r>
      <w:r w:rsidR="00C57530">
        <w:rPr>
          <w:rFonts w:ascii="Calibri" w:hAnsi="Calibri" w:cs="Calibri"/>
          <w:lang w:val="de-DE"/>
        </w:rPr>
        <w:t xml:space="preserve"> </w:t>
      </w:r>
      <w:r w:rsidR="001B77E4" w:rsidRPr="00012CE6">
        <w:rPr>
          <w:rFonts w:ascii="Calibri" w:hAnsi="Calibri" w:cs="Calibri"/>
          <w:lang w:val="de-DE"/>
        </w:rPr>
        <w:t>KM.</w:t>
      </w:r>
    </w:p>
    <w:p w:rsidR="00055F28" w:rsidRPr="00012CE6" w:rsidRDefault="00055F28" w:rsidP="001B77E4">
      <w:pPr>
        <w:jc w:val="both"/>
        <w:rPr>
          <w:rFonts w:ascii="Calibri" w:hAnsi="Calibri" w:cs="Calibri"/>
          <w:lang w:val="de-DE"/>
        </w:rPr>
      </w:pPr>
    </w:p>
    <w:p w:rsidR="00052AF4" w:rsidRPr="006F5F1D" w:rsidRDefault="00052AF4" w:rsidP="00052AF4">
      <w:pPr>
        <w:numPr>
          <w:ilvl w:val="1"/>
          <w:numId w:val="7"/>
        </w:numPr>
        <w:rPr>
          <w:rFonts w:ascii="Calibri" w:hAnsi="Calibri" w:cs="Calibri"/>
          <w:lang w:val="en-US"/>
        </w:rPr>
      </w:pPr>
      <w:r w:rsidRPr="006F5F1D">
        <w:rPr>
          <w:rFonts w:ascii="Calibri" w:hAnsi="Calibri" w:cs="Calibri"/>
          <w:lang w:val="en-US"/>
        </w:rPr>
        <w:t>Bilans stanja na dan 3</w:t>
      </w:r>
      <w:r w:rsidR="00CE7A18">
        <w:rPr>
          <w:rFonts w:ascii="Calibri" w:hAnsi="Calibri" w:cs="Calibri"/>
          <w:lang w:val="en-US"/>
        </w:rPr>
        <w:t>0</w:t>
      </w:r>
      <w:r w:rsidR="00267093" w:rsidRPr="006F5F1D">
        <w:rPr>
          <w:rFonts w:ascii="Calibri" w:hAnsi="Calibri" w:cs="Calibri"/>
          <w:lang w:val="en-US"/>
        </w:rPr>
        <w:t>.</w:t>
      </w:r>
      <w:r w:rsidR="00CE7A18">
        <w:rPr>
          <w:rFonts w:ascii="Calibri" w:hAnsi="Calibri" w:cs="Calibri"/>
          <w:lang w:val="en-US"/>
        </w:rPr>
        <w:t>06</w:t>
      </w:r>
      <w:r w:rsidR="00137832">
        <w:rPr>
          <w:rFonts w:ascii="Calibri" w:hAnsi="Calibri" w:cs="Calibri"/>
          <w:lang w:val="en-US"/>
        </w:rPr>
        <w:t>.2021</w:t>
      </w:r>
      <w:r w:rsidRPr="006F5F1D">
        <w:rPr>
          <w:rFonts w:ascii="Calibri" w:hAnsi="Calibri" w:cs="Calibri"/>
          <w:lang w:val="en-US"/>
        </w:rPr>
        <w:t>.</w:t>
      </w:r>
    </w:p>
    <w:p w:rsidR="00052AF4" w:rsidRPr="00A21829" w:rsidRDefault="00052AF4" w:rsidP="00052AF4">
      <w:pPr>
        <w:rPr>
          <w:rFonts w:ascii="Calibri" w:hAnsi="Calibri" w:cs="Calibri"/>
          <w:lang w:val="en-US"/>
        </w:rPr>
      </w:pPr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5758"/>
        <w:gridCol w:w="1353"/>
        <w:gridCol w:w="1225"/>
        <w:gridCol w:w="1184"/>
      </w:tblGrid>
      <w:tr w:rsidR="00012CE6" w:rsidTr="00012CE6">
        <w:trPr>
          <w:trHeight w:val="315"/>
        </w:trPr>
        <w:tc>
          <w:tcPr>
            <w:tcW w:w="5758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Pozicija</w:t>
            </w:r>
          </w:p>
        </w:tc>
        <w:tc>
          <w:tcPr>
            <w:tcW w:w="1353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012CE6" w:rsidRDefault="00CE7A1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30.06</w:t>
            </w:r>
            <w:r w:rsidR="002422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.2021</w:t>
            </w:r>
            <w:r w:rsidR="00D33A5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012CE6" w:rsidRDefault="002422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31.12.2020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84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Indeks (2/3)*100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UKUPNA IMOVINA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CE7A1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54.241.902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2422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62.682.723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CE7A18" w:rsidP="002422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86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8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Gotovina i gotovinski ekvivalenti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4B34D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2.048.841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24228F" w:rsidP="002422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743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4B34DD" w:rsidP="002422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Ulaganja fonda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4B34D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51.062.617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24228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55.074.857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4B34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92,71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51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- Ulaganja fonda u fin. sredstva po fer vrijednosti kroz bilans uspjeha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4B34D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38.050.</w:t>
            </w:r>
            <w:r w:rsidR="0024228F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24228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41.571.190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4B34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91,53</w:t>
            </w:r>
            <w:r w:rsidR="002422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51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Ulaganja fonda u finansijska sredstva raspoloživa za prodaju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4B34D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3.708</w:t>
            </w:r>
            <w:r w:rsidR="0024228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24228F"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24228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4.222.098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4B34DD" w:rsidP="002422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87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84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51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Ulaganja fonda u finansijska sredstva koja se drže do roka dospijeća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Depoziti i plasmani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4B34D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9.303.576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24228F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9.281.569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24228F" w:rsidP="0024228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100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 w:rsidR="004B34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Potraživanja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4B34DD" w:rsidP="004B34D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1.130</w:t>
            </w:r>
            <w:r w:rsidR="002422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039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864.227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4B34DD" w:rsidP="004B34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130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 w:rsidR="000039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Potraživanja po osnovu prodaje hartija od vrijednosti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4B34DD" w:rsidP="004B34D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928</w:t>
            </w:r>
            <w:r w:rsidR="0000393A">
              <w:rPr>
                <w:rFonts w:ascii="Calibri" w:hAnsi="Calibri" w:cs="Calibri"/>
                <w:color w:val="000000"/>
                <w:sz w:val="20"/>
                <w:szCs w:val="20"/>
              </w:rPr>
              <w:t>.6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Potraživanja po osnovu kamate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4B34DD" w:rsidP="004B34D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  <w:r w:rsidR="0000393A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 w:rsidP="0000393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00393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.4</w:t>
            </w:r>
            <w:r w:rsidR="0000393A">
              <w:rPr>
                <w:rFonts w:ascii="Calibri" w:hAnsi="Calibri" w:cs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012CE6" w:rsidP="004B34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0039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="004B34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 w:rsidR="000039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  <w:r w:rsidR="004B34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Potraživanja po osnovu dividendi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0393A" w:rsidP="0000393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24.457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 w:rsidP="0000393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00393A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00393A">
              <w:rPr>
                <w:rFonts w:ascii="Calibri" w:hAnsi="Calibri" w:cs="Calibri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00393A" w:rsidP="000039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,9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Ostala potraživanja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0393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Potraživanja od društva za upravljanje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4B34D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2.62</w:t>
            </w:r>
            <w:r w:rsidR="0000393A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0393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2.588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012CE6" w:rsidP="004B34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  <w:r w:rsidR="004B34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 w:rsidR="000039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="004B34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Obaveze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4B34DD" w:rsidP="004B34D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162</w:t>
            </w:r>
            <w:r w:rsidR="0000393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.5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0393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5.083.152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4B34DD" w:rsidP="004B34D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Obaveze po osnovu ulaganja u hartije od vrijednosti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 Obaveze prema banci depozitaru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Obaveze po osnovu otkupa udjela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4B34DD" w:rsidP="004B34DD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="0000393A">
              <w:rPr>
                <w:rFonts w:ascii="Calibri" w:hAnsi="Calibri" w:cs="Calibri"/>
                <w:color w:val="000000"/>
                <w:sz w:val="20"/>
                <w:szCs w:val="20"/>
              </w:rPr>
              <w:t>.1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0393A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4.731.087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00393A" w:rsidP="000039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  <w:r w:rsidR="004B34D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Obaveze prema društvu za up</w:t>
            </w:r>
            <w:r w:rsidR="00C57530">
              <w:rPr>
                <w:rFonts w:ascii="Calibri" w:hAnsi="Calibri" w:cs="Calibri"/>
                <w:color w:val="000000"/>
                <w:sz w:val="20"/>
                <w:szCs w:val="20"/>
              </w:rPr>
              <w:t>r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avljanje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4B34DD" w:rsidP="00BD183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152</w:t>
            </w:r>
            <w:r w:rsidR="003805A1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BD1832">
              <w:rPr>
                <w:rFonts w:ascii="Calibri" w:hAnsi="Calibri" w:cs="Calibri"/>
                <w:color w:val="000000"/>
                <w:sz w:val="20"/>
                <w:szCs w:val="20"/>
              </w:rPr>
              <w:t>467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3805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352.065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BD1832" w:rsidP="00BD1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 w:rsidR="003805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- Ostale obaveze iz poslovanja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NETO IMOVINA FONDA 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BD1832" w:rsidP="00BD1832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  <w:r w:rsidR="003805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079</w:t>
            </w:r>
            <w:r w:rsidR="003805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3805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57.599.571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012CE6" w:rsidP="00BD183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  <w:r w:rsidR="00BD18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 w:rsidR="00BD18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89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3805A1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3805A1" w:rsidRDefault="003805A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Kapital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3805A1" w:rsidRDefault="00BD1832" w:rsidP="004C733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D183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54.079.303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3805A1" w:rsidRDefault="003805A1" w:rsidP="004C733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57.599.571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3805A1" w:rsidRDefault="00BD1832" w:rsidP="004C73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93,89</w:t>
            </w:r>
            <w:r w:rsidR="003805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Akcijski kapital – udjeli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E1787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44.637.172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3805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50.388.798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3805A1" w:rsidP="003805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88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 w:rsidR="00E178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Emisiona premija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012C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Revalorizacione rezerve finansijskih sredstava raspoloživih za prodaju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E1787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121.351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3805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128.810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3805A1" w:rsidP="00E178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  <w:r w:rsidR="00E178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4,21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Neraspoređena dobit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E17874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7.840.993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3805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7.081.964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E17874" w:rsidP="003805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110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72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Nepokriveni gubitak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3805A1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12CE6" w:rsidRDefault="00C575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012CE6" w:rsidTr="00012CE6">
        <w:trPr>
          <w:trHeight w:val="300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Broj emitovanih udjela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E1787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4.279.701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:rsidR="00012CE6" w:rsidRDefault="003805A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4.751.928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vAlign w:val="center"/>
            <w:hideMark/>
          </w:tcPr>
          <w:p w:rsidR="00012CE6" w:rsidRDefault="00012CE6" w:rsidP="003805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  <w:r w:rsidR="003805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 w:rsidR="00E1787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06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012CE6" w:rsidTr="00012CE6">
        <w:trPr>
          <w:trHeight w:val="315"/>
        </w:trPr>
        <w:tc>
          <w:tcPr>
            <w:tcW w:w="5758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 Neto imovina po udjelu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E1787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12,6362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noWrap/>
            <w:vAlign w:val="center"/>
            <w:hideMark/>
          </w:tcPr>
          <w:p w:rsidR="00012CE6" w:rsidRDefault="00012C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  <w:r w:rsidR="003805A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,1213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  <w:hideMark/>
          </w:tcPr>
          <w:p w:rsidR="00012CE6" w:rsidRDefault="00E1787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104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  <w:r w:rsidR="00012C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</w:tbl>
    <w:p w:rsidR="00052AF4" w:rsidRPr="00A21829" w:rsidRDefault="00052AF4" w:rsidP="00052AF4">
      <w:pPr>
        <w:jc w:val="both"/>
        <w:rPr>
          <w:rFonts w:ascii="Calibri" w:hAnsi="Calibri" w:cs="Calibri"/>
          <w:lang w:val="en-US"/>
        </w:rPr>
      </w:pPr>
    </w:p>
    <w:p w:rsidR="00052AF4" w:rsidRPr="00B75A82" w:rsidRDefault="00052AF4" w:rsidP="00052AF4">
      <w:pPr>
        <w:jc w:val="both"/>
        <w:rPr>
          <w:rFonts w:ascii="Calibri" w:hAnsi="Calibri" w:cs="Calibri"/>
          <w:lang w:val="sr-Latn-BA"/>
        </w:rPr>
      </w:pPr>
      <w:r w:rsidRPr="00633A55">
        <w:rPr>
          <w:rFonts w:ascii="Calibri" w:hAnsi="Calibri" w:cs="Calibri"/>
          <w:lang w:val="en-US"/>
        </w:rPr>
        <w:t>Ukupna imovina Fonda na dan 3</w:t>
      </w:r>
      <w:r w:rsidR="004B34DD">
        <w:rPr>
          <w:rFonts w:ascii="Calibri" w:hAnsi="Calibri" w:cs="Calibri"/>
          <w:lang w:val="en-US"/>
        </w:rPr>
        <w:t>0</w:t>
      </w:r>
      <w:r w:rsidRPr="00633A55">
        <w:rPr>
          <w:rFonts w:ascii="Calibri" w:hAnsi="Calibri" w:cs="Calibri"/>
          <w:lang w:val="en-US"/>
        </w:rPr>
        <w:t>.</w:t>
      </w:r>
      <w:r w:rsidR="004B34DD">
        <w:rPr>
          <w:rFonts w:ascii="Calibri" w:hAnsi="Calibri" w:cs="Calibri"/>
          <w:lang w:val="en-US"/>
        </w:rPr>
        <w:t>06</w:t>
      </w:r>
      <w:r w:rsidR="00932BEC">
        <w:rPr>
          <w:rFonts w:ascii="Calibri" w:hAnsi="Calibri" w:cs="Calibri"/>
          <w:lang w:val="en-US"/>
        </w:rPr>
        <w:t>.2021</w:t>
      </w:r>
      <w:r w:rsidRPr="00633A55">
        <w:rPr>
          <w:rFonts w:ascii="Calibri" w:hAnsi="Calibri" w:cs="Calibri"/>
          <w:lang w:val="en-US"/>
        </w:rPr>
        <w:t>.</w:t>
      </w:r>
      <w:r w:rsidR="004B34DD">
        <w:rPr>
          <w:rFonts w:ascii="Calibri" w:hAnsi="Calibri" w:cs="Calibri"/>
          <w:lang w:val="en-US"/>
        </w:rPr>
        <w:t xml:space="preserve"> </w:t>
      </w:r>
      <w:r w:rsidRPr="00633A55">
        <w:rPr>
          <w:rFonts w:ascii="Calibri" w:hAnsi="Calibri" w:cs="Calibri"/>
          <w:lang w:val="en-US"/>
        </w:rPr>
        <w:t xml:space="preserve">godine iznosi </w:t>
      </w:r>
      <w:r w:rsidR="004B34DD">
        <w:rPr>
          <w:rFonts w:ascii="Calibri" w:hAnsi="Calibri" w:cs="Calibri"/>
          <w:lang w:val="en-US"/>
        </w:rPr>
        <w:t>54.241.902</w:t>
      </w:r>
      <w:r w:rsidR="00932BEC">
        <w:rPr>
          <w:rFonts w:ascii="Calibri" w:hAnsi="Calibri" w:cs="Calibri"/>
          <w:lang w:val="en-US"/>
        </w:rPr>
        <w:t xml:space="preserve"> </w:t>
      </w:r>
      <w:r w:rsidRPr="00633A55">
        <w:rPr>
          <w:rFonts w:ascii="Calibri" w:hAnsi="Calibri" w:cs="Calibri"/>
          <w:lang w:val="en-US"/>
        </w:rPr>
        <w:t xml:space="preserve">KM, od čega se na ulaganja u hartije od vrijednosti odnosi </w:t>
      </w:r>
      <w:r w:rsidR="004B34DD">
        <w:rPr>
          <w:rFonts w:ascii="Calibri" w:hAnsi="Calibri" w:cs="Calibri"/>
          <w:lang w:val="en-US"/>
        </w:rPr>
        <w:t>76</w:t>
      </w:r>
      <w:r w:rsidR="00932BEC">
        <w:rPr>
          <w:rFonts w:ascii="Calibri" w:hAnsi="Calibri" w:cs="Calibri"/>
          <w:lang w:val="en-US"/>
        </w:rPr>
        <w:t>,</w:t>
      </w:r>
      <w:r w:rsidR="004B34DD">
        <w:rPr>
          <w:rFonts w:ascii="Calibri" w:hAnsi="Calibri" w:cs="Calibri"/>
          <w:lang w:val="en-US"/>
        </w:rPr>
        <w:t>98</w:t>
      </w:r>
      <w:r w:rsidR="00932BEC">
        <w:rPr>
          <w:rFonts w:ascii="Calibri" w:hAnsi="Calibri" w:cs="Calibri"/>
          <w:lang w:val="en-US"/>
        </w:rPr>
        <w:t xml:space="preserve"> </w:t>
      </w:r>
      <w:r w:rsidRPr="00633A55">
        <w:rPr>
          <w:rFonts w:ascii="Calibri" w:hAnsi="Calibri" w:cs="Calibri"/>
          <w:lang w:val="en-US"/>
        </w:rPr>
        <w:t>%</w:t>
      </w:r>
      <w:r w:rsidR="00DB5BAE">
        <w:rPr>
          <w:rFonts w:ascii="Calibri" w:hAnsi="Calibri" w:cs="Calibri"/>
          <w:lang w:val="sr-Latn-BA"/>
        </w:rPr>
        <w:t>.</w:t>
      </w:r>
      <w:r w:rsidR="00C57530">
        <w:rPr>
          <w:rFonts w:ascii="Calibri" w:hAnsi="Calibri" w:cs="Calibri"/>
          <w:lang w:val="sr-Latn-BA"/>
        </w:rPr>
        <w:t xml:space="preserve"> </w:t>
      </w:r>
      <w:r w:rsidR="00932BEC">
        <w:rPr>
          <w:rFonts w:ascii="Calibri" w:hAnsi="Calibri" w:cs="Calibri"/>
          <w:lang w:val="sr-Latn-BA"/>
        </w:rPr>
        <w:t>U odnosu na 31.12.2020</w:t>
      </w:r>
      <w:r w:rsidR="00012CE6">
        <w:rPr>
          <w:rFonts w:ascii="Calibri" w:hAnsi="Calibri" w:cs="Calibri"/>
          <w:lang w:val="sr-Latn-BA"/>
        </w:rPr>
        <w:t>.godine bilježimo značajno smanjenje gotovine</w:t>
      </w:r>
      <w:r w:rsidR="00EC0D29">
        <w:rPr>
          <w:rFonts w:ascii="Calibri" w:hAnsi="Calibri" w:cs="Calibri"/>
          <w:lang w:val="sr-Latn-BA"/>
        </w:rPr>
        <w:t xml:space="preserve">, što je </w:t>
      </w:r>
      <w:r w:rsidR="00E63AF7">
        <w:rPr>
          <w:rFonts w:ascii="Calibri" w:hAnsi="Calibri" w:cs="Calibri"/>
          <w:lang w:val="sr-Latn-BA"/>
        </w:rPr>
        <w:t>uglavnom</w:t>
      </w:r>
      <w:r w:rsidR="00C57530">
        <w:rPr>
          <w:rFonts w:ascii="Calibri" w:hAnsi="Calibri" w:cs="Calibri"/>
          <w:lang w:val="sr-Latn-BA"/>
        </w:rPr>
        <w:t xml:space="preserve"> </w:t>
      </w:r>
      <w:r w:rsidR="00C34C78">
        <w:rPr>
          <w:rFonts w:ascii="Calibri" w:hAnsi="Calibri" w:cs="Calibri"/>
          <w:lang w:val="sr-Latn-BA"/>
        </w:rPr>
        <w:t xml:space="preserve">posljedica </w:t>
      </w:r>
      <w:r w:rsidR="00012CE6">
        <w:rPr>
          <w:rFonts w:ascii="Calibri" w:hAnsi="Calibri" w:cs="Calibri"/>
          <w:lang w:val="sr-Latn-BA"/>
        </w:rPr>
        <w:t>isplate udjela.</w:t>
      </w:r>
    </w:p>
    <w:p w:rsidR="00052AF4" w:rsidRPr="00B75A82" w:rsidRDefault="00052AF4" w:rsidP="00052AF4">
      <w:pPr>
        <w:jc w:val="both"/>
        <w:rPr>
          <w:rFonts w:ascii="Calibri" w:hAnsi="Calibri" w:cs="Calibri"/>
          <w:lang w:val="sr-Latn-BA"/>
        </w:rPr>
      </w:pPr>
      <w:r w:rsidRPr="00B75A82">
        <w:rPr>
          <w:rFonts w:ascii="Calibri" w:hAnsi="Calibri" w:cs="Calibri"/>
          <w:lang w:val="sr-Latn-BA"/>
        </w:rPr>
        <w:t xml:space="preserve">Obaveze iznose </w:t>
      </w:r>
      <w:r w:rsidR="004B34DD">
        <w:rPr>
          <w:rFonts w:ascii="Calibri" w:hAnsi="Calibri" w:cs="Calibri"/>
          <w:lang w:val="sr-Latn-BA"/>
        </w:rPr>
        <w:t>162</w:t>
      </w:r>
      <w:r w:rsidR="00012CE6" w:rsidRPr="00012CE6">
        <w:rPr>
          <w:rFonts w:ascii="Calibri" w:hAnsi="Calibri" w:cs="Calibri"/>
          <w:lang w:val="sr-Latn-BA"/>
        </w:rPr>
        <w:t>.</w:t>
      </w:r>
      <w:r w:rsidR="00932BEC">
        <w:rPr>
          <w:rFonts w:ascii="Calibri" w:hAnsi="Calibri" w:cs="Calibri"/>
          <w:lang w:val="sr-Latn-BA"/>
        </w:rPr>
        <w:t>5</w:t>
      </w:r>
      <w:r w:rsidR="004B34DD">
        <w:rPr>
          <w:rFonts w:ascii="Calibri" w:hAnsi="Calibri" w:cs="Calibri"/>
          <w:lang w:val="sr-Latn-BA"/>
        </w:rPr>
        <w:t>99</w:t>
      </w:r>
      <w:r w:rsidR="00C57530">
        <w:rPr>
          <w:rFonts w:ascii="Calibri" w:hAnsi="Calibri" w:cs="Calibri"/>
          <w:lang w:val="sr-Latn-BA"/>
        </w:rPr>
        <w:t xml:space="preserve"> </w:t>
      </w:r>
      <w:r w:rsidRPr="00B75A82">
        <w:rPr>
          <w:rFonts w:ascii="Calibri" w:hAnsi="Calibri" w:cs="Calibri"/>
          <w:lang w:val="sr-Latn-BA"/>
        </w:rPr>
        <w:t>KM i čine</w:t>
      </w:r>
      <w:r w:rsidR="00AC5837" w:rsidRPr="00B75A82">
        <w:rPr>
          <w:rFonts w:ascii="Calibri" w:hAnsi="Calibri" w:cs="Calibri"/>
          <w:lang w:val="sr-Latn-BA"/>
        </w:rPr>
        <w:t xml:space="preserve"> ih</w:t>
      </w:r>
      <w:r w:rsidR="00C57530">
        <w:rPr>
          <w:rFonts w:ascii="Calibri" w:hAnsi="Calibri" w:cs="Calibri"/>
          <w:lang w:val="sr-Latn-BA"/>
        </w:rPr>
        <w:t xml:space="preserve"> </w:t>
      </w:r>
      <w:r w:rsidR="00842F07" w:rsidRPr="00B75A82">
        <w:rPr>
          <w:rFonts w:ascii="Calibri" w:hAnsi="Calibri" w:cs="Calibri"/>
          <w:lang w:val="sr-Latn-BA"/>
        </w:rPr>
        <w:t>većinom</w:t>
      </w:r>
      <w:r w:rsidR="00C57530">
        <w:rPr>
          <w:rFonts w:ascii="Calibri" w:hAnsi="Calibri" w:cs="Calibri"/>
          <w:lang w:val="sr-Latn-BA"/>
        </w:rPr>
        <w:t xml:space="preserve"> </w:t>
      </w:r>
      <w:r w:rsidR="008068DF" w:rsidRPr="00B75A82">
        <w:rPr>
          <w:rFonts w:ascii="Calibri" w:hAnsi="Calibri" w:cs="Calibri"/>
          <w:lang w:val="sr-Latn-BA"/>
        </w:rPr>
        <w:t xml:space="preserve">obaveze </w:t>
      </w:r>
      <w:r w:rsidR="00C57530">
        <w:rPr>
          <w:rFonts w:ascii="Calibri" w:hAnsi="Calibri" w:cs="Calibri"/>
          <w:lang w:val="sr-Latn-BA"/>
        </w:rPr>
        <w:t>prema društvu za u</w:t>
      </w:r>
      <w:r w:rsidR="006F5F1D" w:rsidRPr="00B75A82">
        <w:rPr>
          <w:rFonts w:ascii="Calibri" w:hAnsi="Calibri" w:cs="Calibri"/>
          <w:lang w:val="sr-Latn-BA"/>
        </w:rPr>
        <w:t>pravljanje</w:t>
      </w:r>
      <w:r w:rsidR="00842F07" w:rsidRPr="00B75A82">
        <w:rPr>
          <w:rFonts w:ascii="Calibri" w:hAnsi="Calibri" w:cs="Calibri"/>
          <w:lang w:val="sr-Latn-BA"/>
        </w:rPr>
        <w:t>, a manjim dijelom</w:t>
      </w:r>
      <w:r w:rsidR="00C57530">
        <w:rPr>
          <w:rFonts w:ascii="Calibri" w:hAnsi="Calibri" w:cs="Calibri"/>
          <w:lang w:val="sr-Latn-BA"/>
        </w:rPr>
        <w:t xml:space="preserve"> </w:t>
      </w:r>
      <w:r w:rsidR="006F5F1D" w:rsidRPr="00B75A82">
        <w:rPr>
          <w:rFonts w:ascii="Calibri" w:hAnsi="Calibri" w:cs="Calibri"/>
          <w:lang w:val="sr-Latn-BA"/>
        </w:rPr>
        <w:t>obaveze po osnovu otkupa udjela.</w:t>
      </w:r>
    </w:p>
    <w:p w:rsidR="00052AF4" w:rsidRPr="00B75A82" w:rsidRDefault="00052AF4" w:rsidP="00052AF4">
      <w:pPr>
        <w:jc w:val="both"/>
        <w:rPr>
          <w:rFonts w:ascii="Calibri" w:hAnsi="Calibri" w:cs="Calibri"/>
          <w:lang w:val="sr-Latn-BA"/>
        </w:rPr>
      </w:pPr>
      <w:r w:rsidRPr="00B75A82">
        <w:rPr>
          <w:rFonts w:ascii="Calibri" w:hAnsi="Calibri" w:cs="Calibri"/>
          <w:lang w:val="sr-Latn-BA"/>
        </w:rPr>
        <w:t xml:space="preserve">Neto imovina </w:t>
      </w:r>
      <w:r w:rsidR="00E17874">
        <w:rPr>
          <w:rFonts w:ascii="Calibri" w:hAnsi="Calibri" w:cs="Calibri"/>
          <w:lang w:val="sr-Latn-BA"/>
        </w:rPr>
        <w:t>Fonda na dan 30.06</w:t>
      </w:r>
      <w:r w:rsidR="00932BEC">
        <w:rPr>
          <w:rFonts w:ascii="Calibri" w:hAnsi="Calibri" w:cs="Calibri"/>
          <w:lang w:val="sr-Latn-BA"/>
        </w:rPr>
        <w:t>.2021</w:t>
      </w:r>
      <w:r w:rsidR="006F5F1D" w:rsidRPr="00B75A82">
        <w:rPr>
          <w:rFonts w:ascii="Calibri" w:hAnsi="Calibri" w:cs="Calibri"/>
          <w:lang w:val="sr-Latn-BA"/>
        </w:rPr>
        <w:t xml:space="preserve">.godine </w:t>
      </w:r>
      <w:r w:rsidRPr="00B75A82">
        <w:rPr>
          <w:rFonts w:ascii="Calibri" w:hAnsi="Calibri" w:cs="Calibri"/>
          <w:lang w:val="sr-Latn-BA"/>
        </w:rPr>
        <w:t xml:space="preserve">je za </w:t>
      </w:r>
      <w:r w:rsidR="00E17874">
        <w:rPr>
          <w:rFonts w:ascii="Calibri" w:hAnsi="Calibri" w:cs="Calibri"/>
          <w:lang w:val="sr-Latn-BA"/>
        </w:rPr>
        <w:t>6,1</w:t>
      </w:r>
      <w:r w:rsidR="00932BEC">
        <w:rPr>
          <w:rFonts w:ascii="Calibri" w:hAnsi="Calibri" w:cs="Calibri"/>
          <w:lang w:val="sr-Latn-BA"/>
        </w:rPr>
        <w:t xml:space="preserve">1 </w:t>
      </w:r>
      <w:r w:rsidR="00DB5BAE" w:rsidRPr="00B75A82">
        <w:rPr>
          <w:rFonts w:ascii="Calibri" w:hAnsi="Calibri" w:cs="Calibri"/>
          <w:lang w:val="sr-Latn-BA"/>
        </w:rPr>
        <w:t>%</w:t>
      </w:r>
      <w:r w:rsidR="00BF5384">
        <w:rPr>
          <w:rFonts w:ascii="Calibri" w:hAnsi="Calibri" w:cs="Calibri"/>
          <w:lang w:val="sr-Latn-BA"/>
        </w:rPr>
        <w:t xml:space="preserve"> manja u odnosu na 31.12.</w:t>
      </w:r>
      <w:r w:rsidR="00932BEC">
        <w:rPr>
          <w:rFonts w:ascii="Calibri" w:hAnsi="Calibri" w:cs="Calibri"/>
          <w:lang w:val="sr-Latn-BA"/>
        </w:rPr>
        <w:t>2020</w:t>
      </w:r>
      <w:r w:rsidR="006F5F1D" w:rsidRPr="00B75A82">
        <w:rPr>
          <w:rFonts w:ascii="Calibri" w:hAnsi="Calibri" w:cs="Calibri"/>
          <w:lang w:val="sr-Latn-BA"/>
        </w:rPr>
        <w:t>.godine</w:t>
      </w:r>
      <w:r w:rsidR="00DB5BAE" w:rsidRPr="00B75A82">
        <w:rPr>
          <w:rFonts w:ascii="Calibri" w:hAnsi="Calibri" w:cs="Calibri"/>
          <w:lang w:val="sr-Latn-BA"/>
        </w:rPr>
        <w:t xml:space="preserve">, </w:t>
      </w:r>
      <w:r w:rsidR="00BF5384">
        <w:rPr>
          <w:rFonts w:ascii="Calibri" w:hAnsi="Calibri" w:cs="Calibri"/>
          <w:lang w:val="sr-Latn-BA"/>
        </w:rPr>
        <w:t>najvećim dijelom</w:t>
      </w:r>
      <w:r w:rsidR="00DB5BAE" w:rsidRPr="00B75A82">
        <w:rPr>
          <w:rFonts w:ascii="Calibri" w:hAnsi="Calibri" w:cs="Calibri"/>
          <w:lang w:val="sr-Latn-BA"/>
        </w:rPr>
        <w:t xml:space="preserve"> zbog isplate vlasnika udjela.</w:t>
      </w:r>
    </w:p>
    <w:p w:rsidR="00F42264" w:rsidRPr="00B75A82" w:rsidRDefault="00052AF4" w:rsidP="00052AF4">
      <w:pPr>
        <w:jc w:val="both"/>
        <w:rPr>
          <w:rFonts w:ascii="Calibri" w:hAnsi="Calibri" w:cs="Calibri"/>
          <w:lang w:val="sr-Latn-BA"/>
        </w:rPr>
      </w:pPr>
      <w:r w:rsidRPr="00B75A82">
        <w:rPr>
          <w:rFonts w:ascii="Calibri" w:hAnsi="Calibri" w:cs="Calibri"/>
          <w:lang w:val="sr-Latn-BA"/>
        </w:rPr>
        <w:t>Vrijednost neto imovine po udjelu na dan 3</w:t>
      </w:r>
      <w:r w:rsidR="00E17874">
        <w:rPr>
          <w:rFonts w:ascii="Calibri" w:hAnsi="Calibri" w:cs="Calibri"/>
          <w:lang w:val="sr-Latn-BA"/>
        </w:rPr>
        <w:t>0</w:t>
      </w:r>
      <w:r w:rsidRPr="00B75A82">
        <w:rPr>
          <w:rFonts w:ascii="Calibri" w:hAnsi="Calibri" w:cs="Calibri"/>
          <w:lang w:val="sr-Latn-BA"/>
        </w:rPr>
        <w:t>.</w:t>
      </w:r>
      <w:r w:rsidR="00E17874">
        <w:rPr>
          <w:rFonts w:ascii="Calibri" w:hAnsi="Calibri" w:cs="Calibri"/>
          <w:lang w:val="sr-Latn-BA"/>
        </w:rPr>
        <w:t>06</w:t>
      </w:r>
      <w:r w:rsidR="00932BEC">
        <w:rPr>
          <w:rFonts w:ascii="Calibri" w:hAnsi="Calibri" w:cs="Calibri"/>
          <w:lang w:val="sr-Latn-BA"/>
        </w:rPr>
        <w:t>.2021</w:t>
      </w:r>
      <w:r w:rsidRPr="00B75A82">
        <w:rPr>
          <w:rFonts w:ascii="Calibri" w:hAnsi="Calibri" w:cs="Calibri"/>
          <w:lang w:val="sr-Latn-BA"/>
        </w:rPr>
        <w:t>.</w:t>
      </w:r>
      <w:r w:rsidR="00DB5BAE" w:rsidRPr="00B75A82">
        <w:rPr>
          <w:rFonts w:ascii="Calibri" w:hAnsi="Calibri" w:cs="Calibri"/>
          <w:lang w:val="sr-Latn-BA"/>
        </w:rPr>
        <w:t>godine</w:t>
      </w:r>
      <w:r w:rsidRPr="00B75A82">
        <w:rPr>
          <w:rFonts w:ascii="Calibri" w:hAnsi="Calibri" w:cs="Calibri"/>
          <w:lang w:val="sr-Latn-BA"/>
        </w:rPr>
        <w:t xml:space="preserve"> iznosila je </w:t>
      </w:r>
      <w:r w:rsidR="00E17874">
        <w:rPr>
          <w:rFonts w:ascii="Calibri" w:hAnsi="Calibri" w:cs="Calibri"/>
          <w:lang w:val="sr-Latn-BA"/>
        </w:rPr>
        <w:t>12,6362</w:t>
      </w:r>
      <w:r w:rsidR="00C57530">
        <w:rPr>
          <w:rFonts w:ascii="Calibri" w:hAnsi="Calibri" w:cs="Calibri"/>
          <w:lang w:val="sr-Latn-BA"/>
        </w:rPr>
        <w:t xml:space="preserve"> </w:t>
      </w:r>
      <w:r w:rsidRPr="00B75A82">
        <w:rPr>
          <w:rFonts w:ascii="Calibri" w:hAnsi="Calibri" w:cs="Calibri"/>
          <w:lang w:val="sr-Latn-BA"/>
        </w:rPr>
        <w:t xml:space="preserve">KM, i za </w:t>
      </w:r>
      <w:r w:rsidR="00E17874">
        <w:rPr>
          <w:rFonts w:ascii="Calibri" w:hAnsi="Calibri" w:cs="Calibri"/>
          <w:lang w:val="sr-Latn-BA"/>
        </w:rPr>
        <w:t>4,25</w:t>
      </w:r>
      <w:r w:rsidR="00932BEC">
        <w:rPr>
          <w:rFonts w:ascii="Calibri" w:hAnsi="Calibri" w:cs="Calibri"/>
          <w:lang w:val="sr-Latn-BA"/>
        </w:rPr>
        <w:t xml:space="preserve"> </w:t>
      </w:r>
      <w:r w:rsidRPr="00B75A82">
        <w:rPr>
          <w:rFonts w:ascii="Calibri" w:hAnsi="Calibri" w:cs="Calibri"/>
          <w:lang w:val="sr-Latn-BA"/>
        </w:rPr>
        <w:t xml:space="preserve">% je </w:t>
      </w:r>
      <w:r w:rsidR="00932BEC">
        <w:rPr>
          <w:rFonts w:ascii="Calibri" w:hAnsi="Calibri" w:cs="Calibri"/>
          <w:lang w:val="sr-Latn-BA"/>
        </w:rPr>
        <w:t>veća u odnosu na 31.12.2020</w:t>
      </w:r>
      <w:r w:rsidRPr="00B75A82">
        <w:rPr>
          <w:rFonts w:ascii="Calibri" w:hAnsi="Calibri" w:cs="Calibri"/>
          <w:lang w:val="sr-Latn-BA"/>
        </w:rPr>
        <w:t xml:space="preserve">.godine. </w:t>
      </w:r>
      <w:r w:rsidR="00EA6D4E" w:rsidRPr="00B75A82">
        <w:rPr>
          <w:rFonts w:ascii="Calibri" w:hAnsi="Calibri" w:cs="Calibri"/>
          <w:lang w:val="sr-Latn-BA"/>
        </w:rPr>
        <w:t>Ukupan br</w:t>
      </w:r>
      <w:r w:rsidR="008068DF" w:rsidRPr="00B75A82">
        <w:rPr>
          <w:rFonts w:ascii="Calibri" w:hAnsi="Calibri" w:cs="Calibri"/>
          <w:lang w:val="sr-Latn-BA"/>
        </w:rPr>
        <w:t>oj udjela je smanjen</w:t>
      </w:r>
      <w:r w:rsidR="004006CF" w:rsidRPr="00B75A82">
        <w:rPr>
          <w:rFonts w:ascii="Calibri" w:hAnsi="Calibri" w:cs="Calibri"/>
          <w:lang w:val="sr-Latn-BA"/>
        </w:rPr>
        <w:t xml:space="preserve"> sa </w:t>
      </w:r>
      <w:r w:rsidR="00932BEC" w:rsidRPr="00932BEC">
        <w:rPr>
          <w:rFonts w:ascii="Calibri" w:hAnsi="Calibri" w:cs="Calibri"/>
          <w:lang w:val="sr-Latn-BA"/>
        </w:rPr>
        <w:t>4.751.928</w:t>
      </w:r>
      <w:r w:rsidR="00932BEC">
        <w:rPr>
          <w:rFonts w:ascii="Calibri" w:hAnsi="Calibri" w:cs="Calibri"/>
          <w:lang w:val="sr-Latn-BA"/>
        </w:rPr>
        <w:t xml:space="preserve"> </w:t>
      </w:r>
      <w:r w:rsidR="004006CF" w:rsidRPr="00B75A82">
        <w:rPr>
          <w:rFonts w:ascii="Calibri" w:hAnsi="Calibri" w:cs="Calibri"/>
          <w:lang w:val="sr-Latn-BA"/>
        </w:rPr>
        <w:t xml:space="preserve">na </w:t>
      </w:r>
      <w:r w:rsidR="00E17874">
        <w:rPr>
          <w:rFonts w:ascii="Calibri" w:hAnsi="Calibri" w:cs="Calibri"/>
          <w:lang w:val="sr-Latn-BA"/>
        </w:rPr>
        <w:t>4.279.701</w:t>
      </w:r>
      <w:r w:rsidR="00842F07" w:rsidRPr="00B75A82">
        <w:rPr>
          <w:rFonts w:ascii="Calibri" w:hAnsi="Calibri" w:cs="Calibri"/>
          <w:lang w:val="sr-Latn-BA"/>
        </w:rPr>
        <w:t>,</w:t>
      </w:r>
      <w:r w:rsidR="004006CF" w:rsidRPr="00B75A82">
        <w:rPr>
          <w:rFonts w:ascii="Calibri" w:hAnsi="Calibri" w:cs="Calibri"/>
          <w:lang w:val="sr-Latn-BA"/>
        </w:rPr>
        <w:t xml:space="preserve"> odnosno za </w:t>
      </w:r>
      <w:r w:rsidR="00A32EB5">
        <w:rPr>
          <w:rFonts w:ascii="Calibri" w:hAnsi="Calibri" w:cs="Calibri"/>
          <w:lang w:val="sr-Latn-BA"/>
        </w:rPr>
        <w:t>9</w:t>
      </w:r>
      <w:r w:rsidR="00E17874">
        <w:rPr>
          <w:rFonts w:ascii="Calibri" w:hAnsi="Calibri" w:cs="Calibri"/>
          <w:lang w:val="sr-Latn-BA"/>
        </w:rPr>
        <w:t>,94</w:t>
      </w:r>
      <w:bookmarkStart w:id="1" w:name="_GoBack"/>
      <w:bookmarkEnd w:id="1"/>
      <w:r w:rsidR="004006CF" w:rsidRPr="00B75A82">
        <w:rPr>
          <w:rFonts w:ascii="Calibri" w:hAnsi="Calibri" w:cs="Calibri"/>
          <w:lang w:val="sr-Latn-BA"/>
        </w:rPr>
        <w:t>%</w:t>
      </w:r>
      <w:r w:rsidR="00EA6D4E" w:rsidRPr="00B75A82">
        <w:rPr>
          <w:rFonts w:ascii="Calibri" w:hAnsi="Calibri" w:cs="Calibri"/>
          <w:lang w:val="sr-Latn-BA"/>
        </w:rPr>
        <w:t>.</w:t>
      </w:r>
    </w:p>
    <w:p w:rsidR="00052AF4" w:rsidRPr="00686446" w:rsidRDefault="00052AF4">
      <w:pPr>
        <w:rPr>
          <w:rFonts w:ascii="Calibri" w:hAnsi="Calibri" w:cs="Calibri"/>
        </w:rPr>
      </w:pPr>
    </w:p>
    <w:p w:rsidR="00C57530" w:rsidRPr="00686446" w:rsidRDefault="0072326B" w:rsidP="00C57530">
      <w:pPr>
        <w:jc w:val="right"/>
        <w:rPr>
          <w:rFonts w:ascii="Calibri" w:hAnsi="Calibri" w:cs="Calibri"/>
        </w:rPr>
      </w:pPr>
      <w:r w:rsidRPr="00686446">
        <w:rPr>
          <w:rFonts w:ascii="Calibri" w:hAnsi="Calibri" w:cs="Calibri"/>
        </w:rPr>
        <w:t xml:space="preserve">Banja Luka, </w:t>
      </w:r>
      <w:r w:rsidR="00CE7A18">
        <w:rPr>
          <w:rFonts w:ascii="Calibri" w:hAnsi="Calibri" w:cs="Calibri"/>
        </w:rPr>
        <w:t>ju</w:t>
      </w:r>
      <w:r w:rsidR="00C57530">
        <w:rPr>
          <w:rFonts w:ascii="Calibri" w:hAnsi="Calibri" w:cs="Calibri"/>
        </w:rPr>
        <w:t>l</w:t>
      </w:r>
      <w:r w:rsidR="00D84F82" w:rsidRPr="00686446">
        <w:rPr>
          <w:rFonts w:ascii="Calibri" w:hAnsi="Calibri" w:cs="Calibri"/>
        </w:rPr>
        <w:t xml:space="preserve"> 20</w:t>
      </w:r>
      <w:r w:rsidR="00A32EB5">
        <w:rPr>
          <w:rFonts w:ascii="Calibri" w:hAnsi="Calibri" w:cs="Calibri"/>
        </w:rPr>
        <w:t>21</w:t>
      </w:r>
      <w:r w:rsidR="00831961" w:rsidRPr="00686446">
        <w:rPr>
          <w:rFonts w:ascii="Calibri" w:hAnsi="Calibri" w:cs="Calibri"/>
        </w:rPr>
        <w:t>.</w:t>
      </w:r>
      <w:r w:rsidR="00750C1D" w:rsidRPr="00686446">
        <w:rPr>
          <w:rFonts w:ascii="Calibri" w:hAnsi="Calibri" w:cs="Calibri"/>
        </w:rPr>
        <w:t>godin</w:t>
      </w:r>
      <w:r w:rsidR="00487003" w:rsidRPr="00686446">
        <w:rPr>
          <w:rFonts w:ascii="Calibri" w:hAnsi="Calibri" w:cs="Calibri"/>
        </w:rPr>
        <w:t>e</w:t>
      </w:r>
    </w:p>
    <w:p w:rsidR="007F7C34" w:rsidRDefault="007F7C34">
      <w:pPr>
        <w:rPr>
          <w:rFonts w:ascii="Calibri" w:hAnsi="Calibri" w:cs="Calibri"/>
        </w:rPr>
      </w:pPr>
    </w:p>
    <w:p w:rsidR="00930DFE" w:rsidRPr="00686446" w:rsidRDefault="00930DFE">
      <w:pPr>
        <w:rPr>
          <w:rFonts w:ascii="Calibri" w:hAnsi="Calibri" w:cs="Calibri"/>
        </w:rPr>
      </w:pPr>
    </w:p>
    <w:p w:rsidR="007F7C34" w:rsidRPr="00006F10" w:rsidRDefault="007F7C34" w:rsidP="007F7C34">
      <w:pPr>
        <w:jc w:val="center"/>
        <w:rPr>
          <w:rFonts w:ascii="Calibri" w:hAnsi="Calibri" w:cs="Calibri"/>
        </w:rPr>
      </w:pPr>
      <w:r w:rsidRPr="00006F10">
        <w:rPr>
          <w:rFonts w:ascii="Calibri" w:hAnsi="Calibri" w:cs="Calibri"/>
        </w:rPr>
        <w:t>Izvršni direktori:</w:t>
      </w:r>
    </w:p>
    <w:p w:rsidR="007F7C34" w:rsidRPr="00006F10" w:rsidRDefault="007F7C34" w:rsidP="007F7C34">
      <w:pPr>
        <w:jc w:val="center"/>
        <w:rPr>
          <w:rFonts w:ascii="Calibri" w:hAnsi="Calibri" w:cs="Calibri"/>
        </w:rPr>
      </w:pPr>
    </w:p>
    <w:p w:rsidR="007F7C34" w:rsidRPr="00006F10" w:rsidRDefault="007F7C34" w:rsidP="007F7C34">
      <w:pPr>
        <w:jc w:val="center"/>
        <w:rPr>
          <w:rFonts w:ascii="Calibri" w:hAnsi="Calibri" w:cs="Calibri"/>
        </w:rPr>
      </w:pPr>
      <w:r w:rsidRPr="00006F10">
        <w:rPr>
          <w:rFonts w:ascii="Calibri" w:hAnsi="Calibri" w:cs="Calibri"/>
        </w:rPr>
        <w:t>_______________        ______________</w:t>
      </w:r>
    </w:p>
    <w:p w:rsidR="009C4756" w:rsidRPr="00686446" w:rsidRDefault="007F7C34" w:rsidP="007F7C34">
      <w:pPr>
        <w:jc w:val="center"/>
        <w:rPr>
          <w:rFonts w:ascii="Calibri" w:hAnsi="Calibri" w:cs="Calibri"/>
        </w:rPr>
      </w:pPr>
      <w:r w:rsidRPr="00006F10">
        <w:rPr>
          <w:rFonts w:ascii="Calibri" w:hAnsi="Calibri" w:cs="Calibri"/>
        </w:rPr>
        <w:t>Nenad Tomović             Goran Klincov</w:t>
      </w:r>
    </w:p>
    <w:sectPr w:rsidR="009C4756" w:rsidRPr="00686446" w:rsidSect="00BF4E58">
      <w:foot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7E2" w:rsidRDefault="004A47E2" w:rsidP="00746C85">
      <w:r>
        <w:separator/>
      </w:r>
    </w:p>
  </w:endnote>
  <w:endnote w:type="continuationSeparator" w:id="0">
    <w:p w:rsidR="004A47E2" w:rsidRDefault="004A47E2" w:rsidP="0074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1AD" w:rsidRDefault="004921A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7874">
      <w:rPr>
        <w:noProof/>
      </w:rPr>
      <w:t>2</w:t>
    </w:r>
    <w:r>
      <w:rPr>
        <w:noProof/>
      </w:rPr>
      <w:fldChar w:fldCharType="end"/>
    </w:r>
  </w:p>
  <w:p w:rsidR="004921AD" w:rsidRDefault="004921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7E2" w:rsidRDefault="004A47E2" w:rsidP="00746C85">
      <w:r>
        <w:separator/>
      </w:r>
    </w:p>
  </w:footnote>
  <w:footnote w:type="continuationSeparator" w:id="0">
    <w:p w:rsidR="004A47E2" w:rsidRDefault="004A47E2" w:rsidP="00746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6E15"/>
    <w:multiLevelType w:val="hybridMultilevel"/>
    <w:tmpl w:val="C8EEDE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31302"/>
    <w:multiLevelType w:val="hybridMultilevel"/>
    <w:tmpl w:val="DDF475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66D9"/>
    <w:multiLevelType w:val="hybridMultilevel"/>
    <w:tmpl w:val="69CA049C"/>
    <w:lvl w:ilvl="0" w:tplc="9DF0A19C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D5CA2"/>
    <w:multiLevelType w:val="multilevel"/>
    <w:tmpl w:val="648EF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B1B3B7E"/>
    <w:multiLevelType w:val="hybridMultilevel"/>
    <w:tmpl w:val="9B161000"/>
    <w:lvl w:ilvl="0" w:tplc="F508C2BE">
      <w:start w:val="12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5964362"/>
    <w:multiLevelType w:val="hybridMultilevel"/>
    <w:tmpl w:val="ED36CD62"/>
    <w:lvl w:ilvl="0" w:tplc="21DC512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7C4B4D"/>
    <w:multiLevelType w:val="hybridMultilevel"/>
    <w:tmpl w:val="1EF4D762"/>
    <w:lvl w:ilvl="0" w:tplc="471EA3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160B7"/>
    <w:multiLevelType w:val="hybridMultilevel"/>
    <w:tmpl w:val="95766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33D6A"/>
    <w:multiLevelType w:val="multilevel"/>
    <w:tmpl w:val="648EF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B8E0FCF"/>
    <w:multiLevelType w:val="multilevel"/>
    <w:tmpl w:val="648EF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D6D7557"/>
    <w:multiLevelType w:val="hybridMultilevel"/>
    <w:tmpl w:val="B6D23A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D34AF"/>
    <w:multiLevelType w:val="hybridMultilevel"/>
    <w:tmpl w:val="3A6219BA"/>
    <w:lvl w:ilvl="0" w:tplc="2806F8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B4A95"/>
    <w:multiLevelType w:val="hybridMultilevel"/>
    <w:tmpl w:val="DA162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1D5F3A"/>
    <w:multiLevelType w:val="hybridMultilevel"/>
    <w:tmpl w:val="1F683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55477"/>
    <w:multiLevelType w:val="hybridMultilevel"/>
    <w:tmpl w:val="55AAEE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23BE4"/>
    <w:multiLevelType w:val="multilevel"/>
    <w:tmpl w:val="648EF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4"/>
  </w:num>
  <w:num w:numId="5">
    <w:abstractNumId w:val="10"/>
  </w:num>
  <w:num w:numId="6">
    <w:abstractNumId w:val="12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  <w:num w:numId="12">
    <w:abstractNumId w:val="15"/>
  </w:num>
  <w:num w:numId="13">
    <w:abstractNumId w:val="2"/>
  </w:num>
  <w:num w:numId="14">
    <w:abstractNumId w:val="4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4164"/>
    <w:rsid w:val="00000582"/>
    <w:rsid w:val="000012B2"/>
    <w:rsid w:val="00001AA4"/>
    <w:rsid w:val="0000393A"/>
    <w:rsid w:val="000068B0"/>
    <w:rsid w:val="00007753"/>
    <w:rsid w:val="0001253D"/>
    <w:rsid w:val="00012CE6"/>
    <w:rsid w:val="00014E52"/>
    <w:rsid w:val="000156E7"/>
    <w:rsid w:val="0002226C"/>
    <w:rsid w:val="00026D41"/>
    <w:rsid w:val="0003783B"/>
    <w:rsid w:val="0004458C"/>
    <w:rsid w:val="0004515D"/>
    <w:rsid w:val="00051D06"/>
    <w:rsid w:val="00052AF4"/>
    <w:rsid w:val="00055F28"/>
    <w:rsid w:val="00064A90"/>
    <w:rsid w:val="000855AB"/>
    <w:rsid w:val="00085F43"/>
    <w:rsid w:val="0008793E"/>
    <w:rsid w:val="00092912"/>
    <w:rsid w:val="00094884"/>
    <w:rsid w:val="00094C1F"/>
    <w:rsid w:val="00094D34"/>
    <w:rsid w:val="00096495"/>
    <w:rsid w:val="000A13E4"/>
    <w:rsid w:val="000A557C"/>
    <w:rsid w:val="000B14A6"/>
    <w:rsid w:val="000B1C1C"/>
    <w:rsid w:val="000B377F"/>
    <w:rsid w:val="000B4438"/>
    <w:rsid w:val="000B4B2D"/>
    <w:rsid w:val="000D01D7"/>
    <w:rsid w:val="000D2CE0"/>
    <w:rsid w:val="000D46E1"/>
    <w:rsid w:val="000E6DEA"/>
    <w:rsid w:val="000F75D5"/>
    <w:rsid w:val="0010227A"/>
    <w:rsid w:val="00103B33"/>
    <w:rsid w:val="001107DD"/>
    <w:rsid w:val="0011425F"/>
    <w:rsid w:val="00116AAA"/>
    <w:rsid w:val="0012442B"/>
    <w:rsid w:val="0012483D"/>
    <w:rsid w:val="00132CE9"/>
    <w:rsid w:val="0013426F"/>
    <w:rsid w:val="00135D4D"/>
    <w:rsid w:val="00136E8B"/>
    <w:rsid w:val="00137832"/>
    <w:rsid w:val="00137DC4"/>
    <w:rsid w:val="00141D2A"/>
    <w:rsid w:val="00141EE1"/>
    <w:rsid w:val="0014261C"/>
    <w:rsid w:val="00145C28"/>
    <w:rsid w:val="00150CFC"/>
    <w:rsid w:val="00151ECD"/>
    <w:rsid w:val="00156D22"/>
    <w:rsid w:val="00166CD5"/>
    <w:rsid w:val="001720C0"/>
    <w:rsid w:val="0017516A"/>
    <w:rsid w:val="00176160"/>
    <w:rsid w:val="00180725"/>
    <w:rsid w:val="00181048"/>
    <w:rsid w:val="001924D9"/>
    <w:rsid w:val="00193005"/>
    <w:rsid w:val="001A2194"/>
    <w:rsid w:val="001A27EE"/>
    <w:rsid w:val="001A417A"/>
    <w:rsid w:val="001B2583"/>
    <w:rsid w:val="001B3D94"/>
    <w:rsid w:val="001B77E4"/>
    <w:rsid w:val="001C1C35"/>
    <w:rsid w:val="001C35B9"/>
    <w:rsid w:val="001C480D"/>
    <w:rsid w:val="001D772D"/>
    <w:rsid w:val="001E2161"/>
    <w:rsid w:val="001E3A21"/>
    <w:rsid w:val="001F069A"/>
    <w:rsid w:val="001F2462"/>
    <w:rsid w:val="001F2861"/>
    <w:rsid w:val="001F3743"/>
    <w:rsid w:val="001F3F6F"/>
    <w:rsid w:val="001F6D3E"/>
    <w:rsid w:val="00201CDD"/>
    <w:rsid w:val="002024FD"/>
    <w:rsid w:val="002032CC"/>
    <w:rsid w:val="00204164"/>
    <w:rsid w:val="00214338"/>
    <w:rsid w:val="00225DC7"/>
    <w:rsid w:val="0022716B"/>
    <w:rsid w:val="00230824"/>
    <w:rsid w:val="002310FE"/>
    <w:rsid w:val="0023191E"/>
    <w:rsid w:val="00236461"/>
    <w:rsid w:val="00236FB5"/>
    <w:rsid w:val="00240B77"/>
    <w:rsid w:val="0024228F"/>
    <w:rsid w:val="00242ED2"/>
    <w:rsid w:val="00244701"/>
    <w:rsid w:val="00250738"/>
    <w:rsid w:val="00251526"/>
    <w:rsid w:val="002521A2"/>
    <w:rsid w:val="00252D06"/>
    <w:rsid w:val="00256BDA"/>
    <w:rsid w:val="002571FC"/>
    <w:rsid w:val="00260775"/>
    <w:rsid w:val="00263576"/>
    <w:rsid w:val="00267093"/>
    <w:rsid w:val="002671AB"/>
    <w:rsid w:val="0026743E"/>
    <w:rsid w:val="00280251"/>
    <w:rsid w:val="00281A5E"/>
    <w:rsid w:val="00287790"/>
    <w:rsid w:val="00291386"/>
    <w:rsid w:val="00294330"/>
    <w:rsid w:val="002954D1"/>
    <w:rsid w:val="00295875"/>
    <w:rsid w:val="00297060"/>
    <w:rsid w:val="002A12A1"/>
    <w:rsid w:val="002A321C"/>
    <w:rsid w:val="002A469C"/>
    <w:rsid w:val="002A481C"/>
    <w:rsid w:val="002A54ED"/>
    <w:rsid w:val="002A718E"/>
    <w:rsid w:val="002A7FD2"/>
    <w:rsid w:val="002B2E70"/>
    <w:rsid w:val="002B3605"/>
    <w:rsid w:val="002B5C81"/>
    <w:rsid w:val="002D0A27"/>
    <w:rsid w:val="002D25BB"/>
    <w:rsid w:val="002E4AA2"/>
    <w:rsid w:val="002F02A4"/>
    <w:rsid w:val="002F49EC"/>
    <w:rsid w:val="002F6F97"/>
    <w:rsid w:val="00301296"/>
    <w:rsid w:val="003035D6"/>
    <w:rsid w:val="00304228"/>
    <w:rsid w:val="00304D16"/>
    <w:rsid w:val="00304DAF"/>
    <w:rsid w:val="00304E1B"/>
    <w:rsid w:val="00306CE7"/>
    <w:rsid w:val="00311E35"/>
    <w:rsid w:val="00315ADF"/>
    <w:rsid w:val="00315B97"/>
    <w:rsid w:val="0032289A"/>
    <w:rsid w:val="00330C28"/>
    <w:rsid w:val="0034280D"/>
    <w:rsid w:val="00344109"/>
    <w:rsid w:val="003443D3"/>
    <w:rsid w:val="003449DA"/>
    <w:rsid w:val="00352B5A"/>
    <w:rsid w:val="00353C2E"/>
    <w:rsid w:val="0035497D"/>
    <w:rsid w:val="003566AC"/>
    <w:rsid w:val="0036113B"/>
    <w:rsid w:val="0036204E"/>
    <w:rsid w:val="0036780F"/>
    <w:rsid w:val="00367D14"/>
    <w:rsid w:val="003775EE"/>
    <w:rsid w:val="003805A1"/>
    <w:rsid w:val="00380D53"/>
    <w:rsid w:val="003816CC"/>
    <w:rsid w:val="0038200C"/>
    <w:rsid w:val="0038430C"/>
    <w:rsid w:val="00387A2B"/>
    <w:rsid w:val="00390B1D"/>
    <w:rsid w:val="003918FE"/>
    <w:rsid w:val="003952BD"/>
    <w:rsid w:val="00396FE5"/>
    <w:rsid w:val="00397D71"/>
    <w:rsid w:val="003A1426"/>
    <w:rsid w:val="003A52AE"/>
    <w:rsid w:val="003B0E29"/>
    <w:rsid w:val="003B4624"/>
    <w:rsid w:val="003B627E"/>
    <w:rsid w:val="003C0D88"/>
    <w:rsid w:val="003C5019"/>
    <w:rsid w:val="003C6F15"/>
    <w:rsid w:val="003D011A"/>
    <w:rsid w:val="003D0F17"/>
    <w:rsid w:val="003D5267"/>
    <w:rsid w:val="003D5D54"/>
    <w:rsid w:val="003E2784"/>
    <w:rsid w:val="003E285E"/>
    <w:rsid w:val="003E2C60"/>
    <w:rsid w:val="003F2684"/>
    <w:rsid w:val="003F57A5"/>
    <w:rsid w:val="003F62A9"/>
    <w:rsid w:val="004006CF"/>
    <w:rsid w:val="00404EA7"/>
    <w:rsid w:val="00406206"/>
    <w:rsid w:val="00412718"/>
    <w:rsid w:val="00424573"/>
    <w:rsid w:val="0042459A"/>
    <w:rsid w:val="00427C42"/>
    <w:rsid w:val="0043418C"/>
    <w:rsid w:val="00434586"/>
    <w:rsid w:val="004432F5"/>
    <w:rsid w:val="00445B19"/>
    <w:rsid w:val="004463C8"/>
    <w:rsid w:val="004471A7"/>
    <w:rsid w:val="00453098"/>
    <w:rsid w:val="004555DF"/>
    <w:rsid w:val="004566A5"/>
    <w:rsid w:val="00464C3F"/>
    <w:rsid w:val="00464EBB"/>
    <w:rsid w:val="00467F22"/>
    <w:rsid w:val="004706EB"/>
    <w:rsid w:val="00470C78"/>
    <w:rsid w:val="00470FEF"/>
    <w:rsid w:val="00475E6E"/>
    <w:rsid w:val="00476EC7"/>
    <w:rsid w:val="00480521"/>
    <w:rsid w:val="00480B0A"/>
    <w:rsid w:val="004835A1"/>
    <w:rsid w:val="00487003"/>
    <w:rsid w:val="004921AD"/>
    <w:rsid w:val="004978F7"/>
    <w:rsid w:val="004A2F4C"/>
    <w:rsid w:val="004A47E2"/>
    <w:rsid w:val="004A53FD"/>
    <w:rsid w:val="004B10EF"/>
    <w:rsid w:val="004B2DCC"/>
    <w:rsid w:val="004B34DD"/>
    <w:rsid w:val="004B35EE"/>
    <w:rsid w:val="004B52A9"/>
    <w:rsid w:val="004B52D9"/>
    <w:rsid w:val="004C1E16"/>
    <w:rsid w:val="004C1E67"/>
    <w:rsid w:val="004C3C6D"/>
    <w:rsid w:val="004C46E7"/>
    <w:rsid w:val="004C5B89"/>
    <w:rsid w:val="004C7334"/>
    <w:rsid w:val="004E070F"/>
    <w:rsid w:val="004E0C19"/>
    <w:rsid w:val="004E48AD"/>
    <w:rsid w:val="004E4AAD"/>
    <w:rsid w:val="004F12DD"/>
    <w:rsid w:val="004F2F59"/>
    <w:rsid w:val="004F3A5F"/>
    <w:rsid w:val="004F45B6"/>
    <w:rsid w:val="00503C51"/>
    <w:rsid w:val="00505338"/>
    <w:rsid w:val="00507F92"/>
    <w:rsid w:val="00510BA3"/>
    <w:rsid w:val="00511192"/>
    <w:rsid w:val="005114BB"/>
    <w:rsid w:val="005217BC"/>
    <w:rsid w:val="00542247"/>
    <w:rsid w:val="005444F8"/>
    <w:rsid w:val="005446FF"/>
    <w:rsid w:val="00546CBE"/>
    <w:rsid w:val="00564479"/>
    <w:rsid w:val="00565281"/>
    <w:rsid w:val="00566899"/>
    <w:rsid w:val="00567CC1"/>
    <w:rsid w:val="00571DD7"/>
    <w:rsid w:val="00575431"/>
    <w:rsid w:val="00577F5F"/>
    <w:rsid w:val="00581C16"/>
    <w:rsid w:val="005833C3"/>
    <w:rsid w:val="005854A6"/>
    <w:rsid w:val="005904A3"/>
    <w:rsid w:val="00590F85"/>
    <w:rsid w:val="005A4F7A"/>
    <w:rsid w:val="005B04B1"/>
    <w:rsid w:val="005B0C58"/>
    <w:rsid w:val="005B2DDF"/>
    <w:rsid w:val="005B425F"/>
    <w:rsid w:val="005B5177"/>
    <w:rsid w:val="005B6127"/>
    <w:rsid w:val="005B6BD5"/>
    <w:rsid w:val="005B6F3D"/>
    <w:rsid w:val="005C1A3C"/>
    <w:rsid w:val="005C1B45"/>
    <w:rsid w:val="005C1C57"/>
    <w:rsid w:val="005C2ABC"/>
    <w:rsid w:val="005D6492"/>
    <w:rsid w:val="005E0E98"/>
    <w:rsid w:val="005E1319"/>
    <w:rsid w:val="005E1420"/>
    <w:rsid w:val="005E1683"/>
    <w:rsid w:val="005E3249"/>
    <w:rsid w:val="005E48F0"/>
    <w:rsid w:val="005E4C5F"/>
    <w:rsid w:val="005E56AA"/>
    <w:rsid w:val="005E629B"/>
    <w:rsid w:val="005E7D3F"/>
    <w:rsid w:val="005F08D6"/>
    <w:rsid w:val="005F2774"/>
    <w:rsid w:val="00600005"/>
    <w:rsid w:val="00600279"/>
    <w:rsid w:val="00607E94"/>
    <w:rsid w:val="006108A3"/>
    <w:rsid w:val="006109E8"/>
    <w:rsid w:val="006122C6"/>
    <w:rsid w:val="00624018"/>
    <w:rsid w:val="00633A55"/>
    <w:rsid w:val="00634A71"/>
    <w:rsid w:val="00645F2D"/>
    <w:rsid w:val="0064636B"/>
    <w:rsid w:val="00646C6F"/>
    <w:rsid w:val="0065359E"/>
    <w:rsid w:val="00660D43"/>
    <w:rsid w:val="00663680"/>
    <w:rsid w:val="00671BC9"/>
    <w:rsid w:val="00671FAE"/>
    <w:rsid w:val="00674C56"/>
    <w:rsid w:val="00677368"/>
    <w:rsid w:val="00684FC2"/>
    <w:rsid w:val="006851C0"/>
    <w:rsid w:val="006861C2"/>
    <w:rsid w:val="0068641A"/>
    <w:rsid w:val="00686446"/>
    <w:rsid w:val="00696F3D"/>
    <w:rsid w:val="006A1F8D"/>
    <w:rsid w:val="006A2D75"/>
    <w:rsid w:val="006B08A2"/>
    <w:rsid w:val="006B5857"/>
    <w:rsid w:val="006B6883"/>
    <w:rsid w:val="006B6938"/>
    <w:rsid w:val="006C79CB"/>
    <w:rsid w:val="006D0922"/>
    <w:rsid w:val="006E036A"/>
    <w:rsid w:val="006E05E3"/>
    <w:rsid w:val="006E1B57"/>
    <w:rsid w:val="006E22F2"/>
    <w:rsid w:val="006E239D"/>
    <w:rsid w:val="006E38B6"/>
    <w:rsid w:val="006E5AE3"/>
    <w:rsid w:val="006F5F1D"/>
    <w:rsid w:val="0070133A"/>
    <w:rsid w:val="007035B0"/>
    <w:rsid w:val="00703947"/>
    <w:rsid w:val="00703B64"/>
    <w:rsid w:val="00705D4F"/>
    <w:rsid w:val="0071072C"/>
    <w:rsid w:val="00711509"/>
    <w:rsid w:val="007154DE"/>
    <w:rsid w:val="00721AFB"/>
    <w:rsid w:val="007229E2"/>
    <w:rsid w:val="0072326B"/>
    <w:rsid w:val="0072390A"/>
    <w:rsid w:val="00723AA1"/>
    <w:rsid w:val="00725D4C"/>
    <w:rsid w:val="007355D7"/>
    <w:rsid w:val="00745080"/>
    <w:rsid w:val="00746C85"/>
    <w:rsid w:val="00750C1D"/>
    <w:rsid w:val="007513AB"/>
    <w:rsid w:val="00751B24"/>
    <w:rsid w:val="00752609"/>
    <w:rsid w:val="00753ACB"/>
    <w:rsid w:val="00754128"/>
    <w:rsid w:val="007564DA"/>
    <w:rsid w:val="00756618"/>
    <w:rsid w:val="007572C8"/>
    <w:rsid w:val="00757BE1"/>
    <w:rsid w:val="007604D7"/>
    <w:rsid w:val="00762AF6"/>
    <w:rsid w:val="00766275"/>
    <w:rsid w:val="00767E5A"/>
    <w:rsid w:val="00776A2A"/>
    <w:rsid w:val="00780672"/>
    <w:rsid w:val="00782545"/>
    <w:rsid w:val="00782C55"/>
    <w:rsid w:val="00784501"/>
    <w:rsid w:val="00784B39"/>
    <w:rsid w:val="00793412"/>
    <w:rsid w:val="007979C3"/>
    <w:rsid w:val="007A0D03"/>
    <w:rsid w:val="007B3B69"/>
    <w:rsid w:val="007B55D2"/>
    <w:rsid w:val="007B62FC"/>
    <w:rsid w:val="007B7005"/>
    <w:rsid w:val="007C024E"/>
    <w:rsid w:val="007C19B0"/>
    <w:rsid w:val="007C2FED"/>
    <w:rsid w:val="007C353F"/>
    <w:rsid w:val="007C3871"/>
    <w:rsid w:val="007C4B1E"/>
    <w:rsid w:val="007C54F0"/>
    <w:rsid w:val="007C588E"/>
    <w:rsid w:val="007C7B67"/>
    <w:rsid w:val="007D120D"/>
    <w:rsid w:val="007D54A4"/>
    <w:rsid w:val="007D77B4"/>
    <w:rsid w:val="007D7F5A"/>
    <w:rsid w:val="007E20C7"/>
    <w:rsid w:val="007E2B4D"/>
    <w:rsid w:val="007E4382"/>
    <w:rsid w:val="007F447B"/>
    <w:rsid w:val="007F7C34"/>
    <w:rsid w:val="008068DF"/>
    <w:rsid w:val="0081129B"/>
    <w:rsid w:val="00814D1E"/>
    <w:rsid w:val="00820A2C"/>
    <w:rsid w:val="0082188E"/>
    <w:rsid w:val="00824EE7"/>
    <w:rsid w:val="00831961"/>
    <w:rsid w:val="00834FDD"/>
    <w:rsid w:val="008356B5"/>
    <w:rsid w:val="00836C82"/>
    <w:rsid w:val="00842F07"/>
    <w:rsid w:val="00850303"/>
    <w:rsid w:val="00865288"/>
    <w:rsid w:val="00865594"/>
    <w:rsid w:val="00865A53"/>
    <w:rsid w:val="0086777A"/>
    <w:rsid w:val="00871469"/>
    <w:rsid w:val="00872107"/>
    <w:rsid w:val="008731FD"/>
    <w:rsid w:val="008768D5"/>
    <w:rsid w:val="008821DB"/>
    <w:rsid w:val="008918F9"/>
    <w:rsid w:val="00891A2A"/>
    <w:rsid w:val="0089299E"/>
    <w:rsid w:val="008A30E9"/>
    <w:rsid w:val="008A7386"/>
    <w:rsid w:val="008B206D"/>
    <w:rsid w:val="008B3C80"/>
    <w:rsid w:val="008B4A7C"/>
    <w:rsid w:val="008C2619"/>
    <w:rsid w:val="008C699A"/>
    <w:rsid w:val="008C6E52"/>
    <w:rsid w:val="008D2DD6"/>
    <w:rsid w:val="008D4A45"/>
    <w:rsid w:val="008D5052"/>
    <w:rsid w:val="008D779D"/>
    <w:rsid w:val="008E0166"/>
    <w:rsid w:val="008E0EA9"/>
    <w:rsid w:val="008E308C"/>
    <w:rsid w:val="008E5321"/>
    <w:rsid w:val="008E5986"/>
    <w:rsid w:val="008F500A"/>
    <w:rsid w:val="008F5DCC"/>
    <w:rsid w:val="008F6DA5"/>
    <w:rsid w:val="008F6ECA"/>
    <w:rsid w:val="008F771D"/>
    <w:rsid w:val="00901CE5"/>
    <w:rsid w:val="00901F83"/>
    <w:rsid w:val="009028F2"/>
    <w:rsid w:val="00902C62"/>
    <w:rsid w:val="00903BB7"/>
    <w:rsid w:val="00907206"/>
    <w:rsid w:val="00907E20"/>
    <w:rsid w:val="00910A23"/>
    <w:rsid w:val="00910D8B"/>
    <w:rsid w:val="009236DC"/>
    <w:rsid w:val="009304AD"/>
    <w:rsid w:val="00930DFE"/>
    <w:rsid w:val="00932585"/>
    <w:rsid w:val="00932BEC"/>
    <w:rsid w:val="00935558"/>
    <w:rsid w:val="00935F53"/>
    <w:rsid w:val="00937CB4"/>
    <w:rsid w:val="00946B85"/>
    <w:rsid w:val="00950C8C"/>
    <w:rsid w:val="00952F4D"/>
    <w:rsid w:val="009534B7"/>
    <w:rsid w:val="00954D43"/>
    <w:rsid w:val="00956D45"/>
    <w:rsid w:val="00957FFA"/>
    <w:rsid w:val="009609E6"/>
    <w:rsid w:val="00960BFD"/>
    <w:rsid w:val="0096438E"/>
    <w:rsid w:val="00964770"/>
    <w:rsid w:val="00966A56"/>
    <w:rsid w:val="0096759A"/>
    <w:rsid w:val="00971007"/>
    <w:rsid w:val="00972E8C"/>
    <w:rsid w:val="00974FAE"/>
    <w:rsid w:val="00985192"/>
    <w:rsid w:val="00986498"/>
    <w:rsid w:val="00986EF8"/>
    <w:rsid w:val="0099132E"/>
    <w:rsid w:val="00994C18"/>
    <w:rsid w:val="00995310"/>
    <w:rsid w:val="009978ED"/>
    <w:rsid w:val="009A0535"/>
    <w:rsid w:val="009A31A4"/>
    <w:rsid w:val="009A5FC8"/>
    <w:rsid w:val="009B0582"/>
    <w:rsid w:val="009C058B"/>
    <w:rsid w:val="009C3C18"/>
    <w:rsid w:val="009C4756"/>
    <w:rsid w:val="009C62FA"/>
    <w:rsid w:val="009D0DA4"/>
    <w:rsid w:val="009D0FFB"/>
    <w:rsid w:val="009D2BFA"/>
    <w:rsid w:val="009D43B4"/>
    <w:rsid w:val="009D77DC"/>
    <w:rsid w:val="009E00BC"/>
    <w:rsid w:val="009E0B15"/>
    <w:rsid w:val="009F3519"/>
    <w:rsid w:val="009F62A9"/>
    <w:rsid w:val="00A00656"/>
    <w:rsid w:val="00A035A1"/>
    <w:rsid w:val="00A0535D"/>
    <w:rsid w:val="00A05FE7"/>
    <w:rsid w:val="00A07497"/>
    <w:rsid w:val="00A10449"/>
    <w:rsid w:val="00A11E2D"/>
    <w:rsid w:val="00A133C1"/>
    <w:rsid w:val="00A201DE"/>
    <w:rsid w:val="00A22DA8"/>
    <w:rsid w:val="00A22FAD"/>
    <w:rsid w:val="00A2555E"/>
    <w:rsid w:val="00A258D0"/>
    <w:rsid w:val="00A32EB5"/>
    <w:rsid w:val="00A40048"/>
    <w:rsid w:val="00A44487"/>
    <w:rsid w:val="00A45141"/>
    <w:rsid w:val="00A4596A"/>
    <w:rsid w:val="00A5011D"/>
    <w:rsid w:val="00A52BAE"/>
    <w:rsid w:val="00A53BEB"/>
    <w:rsid w:val="00A71E5D"/>
    <w:rsid w:val="00A7279E"/>
    <w:rsid w:val="00A76276"/>
    <w:rsid w:val="00A76B10"/>
    <w:rsid w:val="00A76B89"/>
    <w:rsid w:val="00A80BFD"/>
    <w:rsid w:val="00A81C7E"/>
    <w:rsid w:val="00A8207F"/>
    <w:rsid w:val="00A85E47"/>
    <w:rsid w:val="00A911A5"/>
    <w:rsid w:val="00A9327A"/>
    <w:rsid w:val="00A95BB0"/>
    <w:rsid w:val="00A964B4"/>
    <w:rsid w:val="00AA2D3D"/>
    <w:rsid w:val="00AA3C62"/>
    <w:rsid w:val="00AB16EB"/>
    <w:rsid w:val="00AB1F2D"/>
    <w:rsid w:val="00AC080E"/>
    <w:rsid w:val="00AC0E16"/>
    <w:rsid w:val="00AC28AC"/>
    <w:rsid w:val="00AC51BB"/>
    <w:rsid w:val="00AC5837"/>
    <w:rsid w:val="00AD53F9"/>
    <w:rsid w:val="00AD5490"/>
    <w:rsid w:val="00AD7299"/>
    <w:rsid w:val="00AE0FF6"/>
    <w:rsid w:val="00AE18B6"/>
    <w:rsid w:val="00AE32AD"/>
    <w:rsid w:val="00AE59CD"/>
    <w:rsid w:val="00AE696F"/>
    <w:rsid w:val="00AF5FA2"/>
    <w:rsid w:val="00AF63B4"/>
    <w:rsid w:val="00AF7176"/>
    <w:rsid w:val="00AF7BA0"/>
    <w:rsid w:val="00B0053C"/>
    <w:rsid w:val="00B02E0A"/>
    <w:rsid w:val="00B06A44"/>
    <w:rsid w:val="00B07ED4"/>
    <w:rsid w:val="00B10C4D"/>
    <w:rsid w:val="00B12B8B"/>
    <w:rsid w:val="00B16B37"/>
    <w:rsid w:val="00B172CA"/>
    <w:rsid w:val="00B1739C"/>
    <w:rsid w:val="00B17CF6"/>
    <w:rsid w:val="00B21800"/>
    <w:rsid w:val="00B22B53"/>
    <w:rsid w:val="00B23243"/>
    <w:rsid w:val="00B249ED"/>
    <w:rsid w:val="00B24D89"/>
    <w:rsid w:val="00B27342"/>
    <w:rsid w:val="00B276AD"/>
    <w:rsid w:val="00B33946"/>
    <w:rsid w:val="00B3494A"/>
    <w:rsid w:val="00B35354"/>
    <w:rsid w:val="00B36877"/>
    <w:rsid w:val="00B411DE"/>
    <w:rsid w:val="00B51F94"/>
    <w:rsid w:val="00B55769"/>
    <w:rsid w:val="00B55F88"/>
    <w:rsid w:val="00B576B9"/>
    <w:rsid w:val="00B62C5B"/>
    <w:rsid w:val="00B6756B"/>
    <w:rsid w:val="00B67AB8"/>
    <w:rsid w:val="00B74C40"/>
    <w:rsid w:val="00B75A82"/>
    <w:rsid w:val="00B82414"/>
    <w:rsid w:val="00B91AB1"/>
    <w:rsid w:val="00B952C4"/>
    <w:rsid w:val="00BA0DFD"/>
    <w:rsid w:val="00BA26AA"/>
    <w:rsid w:val="00BA28E0"/>
    <w:rsid w:val="00BA3191"/>
    <w:rsid w:val="00BA63E5"/>
    <w:rsid w:val="00BB0EC3"/>
    <w:rsid w:val="00BB12E1"/>
    <w:rsid w:val="00BB3E5C"/>
    <w:rsid w:val="00BB5998"/>
    <w:rsid w:val="00BB6D80"/>
    <w:rsid w:val="00BC27B5"/>
    <w:rsid w:val="00BD1832"/>
    <w:rsid w:val="00BD2AF7"/>
    <w:rsid w:val="00BD3C85"/>
    <w:rsid w:val="00BD4024"/>
    <w:rsid w:val="00BD50C9"/>
    <w:rsid w:val="00BD5449"/>
    <w:rsid w:val="00BE26C0"/>
    <w:rsid w:val="00BE3FBC"/>
    <w:rsid w:val="00BE45A5"/>
    <w:rsid w:val="00BF4E58"/>
    <w:rsid w:val="00BF5384"/>
    <w:rsid w:val="00C01763"/>
    <w:rsid w:val="00C07F73"/>
    <w:rsid w:val="00C10073"/>
    <w:rsid w:val="00C1028F"/>
    <w:rsid w:val="00C129D7"/>
    <w:rsid w:val="00C16468"/>
    <w:rsid w:val="00C165F9"/>
    <w:rsid w:val="00C1665F"/>
    <w:rsid w:val="00C21E52"/>
    <w:rsid w:val="00C22077"/>
    <w:rsid w:val="00C236D2"/>
    <w:rsid w:val="00C25FC9"/>
    <w:rsid w:val="00C31912"/>
    <w:rsid w:val="00C32A54"/>
    <w:rsid w:val="00C34C78"/>
    <w:rsid w:val="00C36776"/>
    <w:rsid w:val="00C45F8A"/>
    <w:rsid w:val="00C467DB"/>
    <w:rsid w:val="00C50F03"/>
    <w:rsid w:val="00C52794"/>
    <w:rsid w:val="00C553B5"/>
    <w:rsid w:val="00C57530"/>
    <w:rsid w:val="00C6291E"/>
    <w:rsid w:val="00C6315F"/>
    <w:rsid w:val="00C633D5"/>
    <w:rsid w:val="00C64A4A"/>
    <w:rsid w:val="00C71643"/>
    <w:rsid w:val="00C72A80"/>
    <w:rsid w:val="00C73080"/>
    <w:rsid w:val="00C7333E"/>
    <w:rsid w:val="00C7348C"/>
    <w:rsid w:val="00C740CE"/>
    <w:rsid w:val="00C762C6"/>
    <w:rsid w:val="00C80A19"/>
    <w:rsid w:val="00C84F6B"/>
    <w:rsid w:val="00C85A8D"/>
    <w:rsid w:val="00C8744B"/>
    <w:rsid w:val="00C933E8"/>
    <w:rsid w:val="00C953D8"/>
    <w:rsid w:val="00C97E4B"/>
    <w:rsid w:val="00CA0093"/>
    <w:rsid w:val="00CA0B07"/>
    <w:rsid w:val="00CA6B13"/>
    <w:rsid w:val="00CA7357"/>
    <w:rsid w:val="00CB1FB9"/>
    <w:rsid w:val="00CB1FCD"/>
    <w:rsid w:val="00CB49F6"/>
    <w:rsid w:val="00CB6964"/>
    <w:rsid w:val="00CB78CA"/>
    <w:rsid w:val="00CB7981"/>
    <w:rsid w:val="00CC25A8"/>
    <w:rsid w:val="00CD0889"/>
    <w:rsid w:val="00CD0B37"/>
    <w:rsid w:val="00CD1640"/>
    <w:rsid w:val="00CD4A05"/>
    <w:rsid w:val="00CD4EE2"/>
    <w:rsid w:val="00CE1927"/>
    <w:rsid w:val="00CE2881"/>
    <w:rsid w:val="00CE3CCA"/>
    <w:rsid w:val="00CE7A18"/>
    <w:rsid w:val="00CF29E8"/>
    <w:rsid w:val="00CF54DE"/>
    <w:rsid w:val="00CF7EB1"/>
    <w:rsid w:val="00D015D6"/>
    <w:rsid w:val="00D03DA0"/>
    <w:rsid w:val="00D03E6C"/>
    <w:rsid w:val="00D11C59"/>
    <w:rsid w:val="00D1270C"/>
    <w:rsid w:val="00D15B13"/>
    <w:rsid w:val="00D21E47"/>
    <w:rsid w:val="00D22431"/>
    <w:rsid w:val="00D2531A"/>
    <w:rsid w:val="00D31A1B"/>
    <w:rsid w:val="00D31E99"/>
    <w:rsid w:val="00D32C7D"/>
    <w:rsid w:val="00D33A51"/>
    <w:rsid w:val="00D34565"/>
    <w:rsid w:val="00D34A05"/>
    <w:rsid w:val="00D3717A"/>
    <w:rsid w:val="00D41767"/>
    <w:rsid w:val="00D4184D"/>
    <w:rsid w:val="00D4313A"/>
    <w:rsid w:val="00D45B08"/>
    <w:rsid w:val="00D5368A"/>
    <w:rsid w:val="00D544E4"/>
    <w:rsid w:val="00D552AC"/>
    <w:rsid w:val="00D57739"/>
    <w:rsid w:val="00D6195D"/>
    <w:rsid w:val="00D70612"/>
    <w:rsid w:val="00D7515E"/>
    <w:rsid w:val="00D76F71"/>
    <w:rsid w:val="00D84F82"/>
    <w:rsid w:val="00D8684A"/>
    <w:rsid w:val="00D93F40"/>
    <w:rsid w:val="00D976BC"/>
    <w:rsid w:val="00DA29AE"/>
    <w:rsid w:val="00DA2BFC"/>
    <w:rsid w:val="00DB008E"/>
    <w:rsid w:val="00DB2F8C"/>
    <w:rsid w:val="00DB5BAE"/>
    <w:rsid w:val="00DC0C17"/>
    <w:rsid w:val="00DC0ECC"/>
    <w:rsid w:val="00DC4420"/>
    <w:rsid w:val="00DC67C2"/>
    <w:rsid w:val="00DC6F09"/>
    <w:rsid w:val="00DD144D"/>
    <w:rsid w:val="00DD1865"/>
    <w:rsid w:val="00DD1AE6"/>
    <w:rsid w:val="00DD354D"/>
    <w:rsid w:val="00DD35EA"/>
    <w:rsid w:val="00DD3AB3"/>
    <w:rsid w:val="00DD3EA7"/>
    <w:rsid w:val="00DD71F9"/>
    <w:rsid w:val="00DD7BA2"/>
    <w:rsid w:val="00DE090F"/>
    <w:rsid w:val="00DE1754"/>
    <w:rsid w:val="00DE44C7"/>
    <w:rsid w:val="00DE543C"/>
    <w:rsid w:val="00DE7647"/>
    <w:rsid w:val="00DF0739"/>
    <w:rsid w:val="00DF0CA0"/>
    <w:rsid w:val="00DF2B6E"/>
    <w:rsid w:val="00DF5EA0"/>
    <w:rsid w:val="00DF765E"/>
    <w:rsid w:val="00E0041C"/>
    <w:rsid w:val="00E02C85"/>
    <w:rsid w:val="00E047BC"/>
    <w:rsid w:val="00E04E13"/>
    <w:rsid w:val="00E10992"/>
    <w:rsid w:val="00E10DF8"/>
    <w:rsid w:val="00E1184D"/>
    <w:rsid w:val="00E1341D"/>
    <w:rsid w:val="00E13FC9"/>
    <w:rsid w:val="00E149D5"/>
    <w:rsid w:val="00E14F1F"/>
    <w:rsid w:val="00E15A05"/>
    <w:rsid w:val="00E15C67"/>
    <w:rsid w:val="00E1634A"/>
    <w:rsid w:val="00E17301"/>
    <w:rsid w:val="00E17874"/>
    <w:rsid w:val="00E20589"/>
    <w:rsid w:val="00E21179"/>
    <w:rsid w:val="00E22891"/>
    <w:rsid w:val="00E23D72"/>
    <w:rsid w:val="00E26A00"/>
    <w:rsid w:val="00E3031B"/>
    <w:rsid w:val="00E311C1"/>
    <w:rsid w:val="00E3145B"/>
    <w:rsid w:val="00E31EA4"/>
    <w:rsid w:val="00E33FDB"/>
    <w:rsid w:val="00E3585B"/>
    <w:rsid w:val="00E35920"/>
    <w:rsid w:val="00E40F54"/>
    <w:rsid w:val="00E524C8"/>
    <w:rsid w:val="00E573BF"/>
    <w:rsid w:val="00E6054F"/>
    <w:rsid w:val="00E627AA"/>
    <w:rsid w:val="00E63AF7"/>
    <w:rsid w:val="00E6716D"/>
    <w:rsid w:val="00E70637"/>
    <w:rsid w:val="00E73669"/>
    <w:rsid w:val="00E74E01"/>
    <w:rsid w:val="00E80ACC"/>
    <w:rsid w:val="00E80D02"/>
    <w:rsid w:val="00E81D0B"/>
    <w:rsid w:val="00E86150"/>
    <w:rsid w:val="00E928CC"/>
    <w:rsid w:val="00E95102"/>
    <w:rsid w:val="00E956CE"/>
    <w:rsid w:val="00E9626D"/>
    <w:rsid w:val="00EA1F3B"/>
    <w:rsid w:val="00EA6D4E"/>
    <w:rsid w:val="00EA78F3"/>
    <w:rsid w:val="00EA7FEE"/>
    <w:rsid w:val="00EB04D2"/>
    <w:rsid w:val="00EB3402"/>
    <w:rsid w:val="00EB4475"/>
    <w:rsid w:val="00EB4504"/>
    <w:rsid w:val="00EB5D87"/>
    <w:rsid w:val="00EB7BDD"/>
    <w:rsid w:val="00EC0D29"/>
    <w:rsid w:val="00EC0F2D"/>
    <w:rsid w:val="00EC2C3E"/>
    <w:rsid w:val="00EC5168"/>
    <w:rsid w:val="00EC5C59"/>
    <w:rsid w:val="00ED20E9"/>
    <w:rsid w:val="00ED3F6D"/>
    <w:rsid w:val="00ED5217"/>
    <w:rsid w:val="00EE09A8"/>
    <w:rsid w:val="00EE5B9A"/>
    <w:rsid w:val="00EE69D2"/>
    <w:rsid w:val="00EF379C"/>
    <w:rsid w:val="00EF5BC2"/>
    <w:rsid w:val="00EF68E6"/>
    <w:rsid w:val="00F004D7"/>
    <w:rsid w:val="00F021F3"/>
    <w:rsid w:val="00F05657"/>
    <w:rsid w:val="00F05F5A"/>
    <w:rsid w:val="00F10D81"/>
    <w:rsid w:val="00F1235E"/>
    <w:rsid w:val="00F20DB6"/>
    <w:rsid w:val="00F26BCF"/>
    <w:rsid w:val="00F312ED"/>
    <w:rsid w:val="00F345B6"/>
    <w:rsid w:val="00F3594E"/>
    <w:rsid w:val="00F3629A"/>
    <w:rsid w:val="00F40503"/>
    <w:rsid w:val="00F40972"/>
    <w:rsid w:val="00F4197E"/>
    <w:rsid w:val="00F42264"/>
    <w:rsid w:val="00F444CA"/>
    <w:rsid w:val="00F46D98"/>
    <w:rsid w:val="00F51FC3"/>
    <w:rsid w:val="00F53FB9"/>
    <w:rsid w:val="00F554A3"/>
    <w:rsid w:val="00F56FAB"/>
    <w:rsid w:val="00F60C99"/>
    <w:rsid w:val="00F61379"/>
    <w:rsid w:val="00F614C5"/>
    <w:rsid w:val="00F61833"/>
    <w:rsid w:val="00F64178"/>
    <w:rsid w:val="00F65D53"/>
    <w:rsid w:val="00F663C5"/>
    <w:rsid w:val="00F7001C"/>
    <w:rsid w:val="00F7021F"/>
    <w:rsid w:val="00F70A17"/>
    <w:rsid w:val="00F70C73"/>
    <w:rsid w:val="00F722D0"/>
    <w:rsid w:val="00F735E8"/>
    <w:rsid w:val="00F803DF"/>
    <w:rsid w:val="00F80DA1"/>
    <w:rsid w:val="00F87460"/>
    <w:rsid w:val="00F9026C"/>
    <w:rsid w:val="00F90A6F"/>
    <w:rsid w:val="00F96176"/>
    <w:rsid w:val="00FA15D8"/>
    <w:rsid w:val="00FA4395"/>
    <w:rsid w:val="00FA568F"/>
    <w:rsid w:val="00FB5BAE"/>
    <w:rsid w:val="00FB7C3A"/>
    <w:rsid w:val="00FC0240"/>
    <w:rsid w:val="00FC2B47"/>
    <w:rsid w:val="00FC3870"/>
    <w:rsid w:val="00FC76AF"/>
    <w:rsid w:val="00FD2C4A"/>
    <w:rsid w:val="00FD2C7F"/>
    <w:rsid w:val="00FD657A"/>
    <w:rsid w:val="00FE1507"/>
    <w:rsid w:val="00FE164C"/>
    <w:rsid w:val="00FE1B4B"/>
    <w:rsid w:val="00FE259E"/>
    <w:rsid w:val="00FE6103"/>
    <w:rsid w:val="00FE6CEA"/>
    <w:rsid w:val="00FE7E49"/>
    <w:rsid w:val="00FF0952"/>
    <w:rsid w:val="00FF3BA5"/>
    <w:rsid w:val="00FF46D2"/>
    <w:rsid w:val="00FF7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D8CE9"/>
  <w15:docId w15:val="{2853A55D-91E8-4B0B-87AF-31C6A79D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EE1"/>
    <w:rPr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6C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6C85"/>
    <w:rPr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rsid w:val="00746C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6C85"/>
    <w:rPr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rsid w:val="005644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64479"/>
    <w:rPr>
      <w:rFonts w:ascii="Tahoma" w:hAnsi="Tahoma" w:cs="Tahoma"/>
      <w:sz w:val="16"/>
      <w:szCs w:val="16"/>
      <w:lang w:val="sr-Latn-CS"/>
    </w:rPr>
  </w:style>
  <w:style w:type="table" w:styleId="TableGrid">
    <w:name w:val="Table Grid"/>
    <w:basedOn w:val="TableNormal"/>
    <w:rsid w:val="00865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052AF4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5">
    <w:name w:val="Light Shading Accent 5"/>
    <w:basedOn w:val="TableNormal"/>
    <w:uiPriority w:val="60"/>
    <w:rsid w:val="00E80D0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MediumList1-Accent5">
    <w:name w:val="Medium List 1 Accent 5"/>
    <w:basedOn w:val="TableNormal"/>
    <w:uiPriority w:val="65"/>
    <w:rsid w:val="00E31EA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E620E-F0C4-4240-901F-C85F7FD3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</vt:lpstr>
    </vt:vector>
  </TitlesOfParts>
  <Company/>
  <LinksUpToDate>false</LinksUpToDate>
  <CharactersWithSpaces>14544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</dc:title>
  <dc:creator>pnatasa</dc:creator>
  <cp:lastModifiedBy>Dejan JORGIC</cp:lastModifiedBy>
  <cp:revision>31</cp:revision>
  <cp:lastPrinted>2018-04-27T07:03:00Z</cp:lastPrinted>
  <dcterms:created xsi:type="dcterms:W3CDTF">2020-04-14T11:43:00Z</dcterms:created>
  <dcterms:modified xsi:type="dcterms:W3CDTF">2021-07-20T13:07:00Z</dcterms:modified>
</cp:coreProperties>
</file>