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28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 xml:space="preserve">Društvo za upravljanje investicionim fondovima </w:t>
      </w:r>
    </w:p>
    <w:p w:rsidR="00145C28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KRISTAL INVEST a.d. Banja Luka</w:t>
      </w:r>
    </w:p>
    <w:p w:rsidR="0036780F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Broj:</w:t>
      </w:r>
    </w:p>
    <w:p w:rsidR="0034280D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Dana:</w:t>
      </w:r>
      <w:r w:rsidR="00F42264">
        <w:rPr>
          <w:rFonts w:ascii="Calibri" w:hAnsi="Calibri" w:cs="Calibri"/>
        </w:rPr>
        <w:t>.</w:t>
      </w:r>
    </w:p>
    <w:p w:rsidR="00865594" w:rsidRPr="00686446" w:rsidRDefault="00865594" w:rsidP="00145C28">
      <w:pPr>
        <w:rPr>
          <w:rFonts w:ascii="Calibri" w:hAnsi="Calibri" w:cs="Calibri"/>
        </w:rPr>
      </w:pPr>
    </w:p>
    <w:p w:rsidR="00865594" w:rsidRDefault="00865594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Pr="00686446" w:rsidRDefault="00294330" w:rsidP="00145C28">
      <w:pPr>
        <w:rPr>
          <w:rFonts w:ascii="Calibri" w:hAnsi="Calibri" w:cs="Calibri"/>
        </w:rPr>
      </w:pPr>
    </w:p>
    <w:p w:rsidR="00B82414" w:rsidRPr="00686446" w:rsidRDefault="003A1426" w:rsidP="005B04B1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I</w:t>
      </w:r>
      <w:r w:rsidR="000D2CE0" w:rsidRPr="00686446">
        <w:rPr>
          <w:rFonts w:ascii="Calibri" w:hAnsi="Calibri" w:cs="Calibri"/>
          <w:b/>
          <w:lang w:val="en-US"/>
        </w:rPr>
        <w:t>ZVJEŠTAJ</w:t>
      </w:r>
    </w:p>
    <w:p w:rsidR="00F80DA1" w:rsidRPr="00686446" w:rsidRDefault="00D3717A" w:rsidP="005B04B1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o</w:t>
      </w:r>
      <w:r w:rsidR="00204164" w:rsidRPr="00686446">
        <w:rPr>
          <w:rFonts w:ascii="Calibri" w:hAnsi="Calibri" w:cs="Calibri"/>
          <w:b/>
          <w:lang w:val="en-US"/>
        </w:rPr>
        <w:t xml:space="preserve"> poslovanju </w:t>
      </w:r>
      <w:r w:rsidR="007D77B4">
        <w:rPr>
          <w:rFonts w:ascii="Calibri" w:hAnsi="Calibri" w:cs="Calibri"/>
          <w:b/>
          <w:lang w:val="en-US"/>
        </w:rPr>
        <w:t xml:space="preserve">otvorenog </w:t>
      </w:r>
      <w:r w:rsidR="003918FE">
        <w:rPr>
          <w:rFonts w:ascii="Calibri" w:hAnsi="Calibri" w:cs="Calibri"/>
          <w:b/>
          <w:lang w:val="en-US"/>
        </w:rPr>
        <w:t>akcijsk</w:t>
      </w:r>
      <w:r w:rsidR="00251526">
        <w:rPr>
          <w:rFonts w:ascii="Calibri" w:hAnsi="Calibri" w:cs="Calibri"/>
          <w:b/>
        </w:rPr>
        <w:t>og</w:t>
      </w:r>
      <w:r w:rsidR="003918FE">
        <w:rPr>
          <w:rFonts w:ascii="Calibri" w:hAnsi="Calibri" w:cs="Calibri"/>
          <w:b/>
        </w:rPr>
        <w:t xml:space="preserve"> </w:t>
      </w:r>
      <w:r w:rsidR="007D77B4">
        <w:rPr>
          <w:rFonts w:ascii="Calibri" w:hAnsi="Calibri" w:cs="Calibri"/>
          <w:b/>
          <w:lang w:val="en-US"/>
        </w:rPr>
        <w:t>investicionog fonda</w:t>
      </w:r>
      <w:r w:rsidR="00204164" w:rsidRPr="00686446">
        <w:rPr>
          <w:rFonts w:ascii="Calibri" w:hAnsi="Calibri" w:cs="Calibri"/>
          <w:b/>
          <w:lang w:val="en-US"/>
        </w:rPr>
        <w:t xml:space="preserve"> “</w:t>
      </w:r>
      <w:r w:rsidR="00251526">
        <w:rPr>
          <w:rFonts w:ascii="Calibri" w:hAnsi="Calibri" w:cs="Calibri"/>
          <w:b/>
          <w:lang w:val="en-US"/>
        </w:rPr>
        <w:t>Future</w:t>
      </w:r>
      <w:r w:rsidR="00D57739">
        <w:rPr>
          <w:rFonts w:ascii="Calibri" w:hAnsi="Calibri" w:cs="Calibri"/>
          <w:b/>
          <w:lang w:val="en-US"/>
        </w:rPr>
        <w:t xml:space="preserve"> fund</w:t>
      </w:r>
      <w:r w:rsidR="00204164" w:rsidRPr="00686446">
        <w:rPr>
          <w:rFonts w:ascii="Calibri" w:hAnsi="Calibri" w:cs="Calibri"/>
          <w:b/>
          <w:lang w:val="en-US"/>
        </w:rPr>
        <w:t>”</w:t>
      </w:r>
    </w:p>
    <w:p w:rsidR="00204164" w:rsidRPr="00686446" w:rsidRDefault="00BA0DFD" w:rsidP="005B04B1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za period 01.01.</w:t>
      </w:r>
      <w:r w:rsidR="00C7544B">
        <w:rPr>
          <w:rFonts w:ascii="Calibri" w:hAnsi="Calibri" w:cs="Calibri"/>
          <w:b/>
          <w:lang w:val="en-US"/>
        </w:rPr>
        <w:t>2022</w:t>
      </w:r>
      <w:r w:rsidRPr="00686446">
        <w:rPr>
          <w:rFonts w:ascii="Calibri" w:hAnsi="Calibri" w:cs="Calibri"/>
          <w:b/>
          <w:lang w:val="en-US"/>
        </w:rPr>
        <w:t>-3</w:t>
      </w:r>
      <w:r w:rsidR="00F85D54">
        <w:rPr>
          <w:rFonts w:ascii="Calibri" w:hAnsi="Calibri" w:cs="Calibri"/>
          <w:b/>
          <w:lang w:val="en-US"/>
        </w:rPr>
        <w:t>0</w:t>
      </w:r>
      <w:r w:rsidRPr="00686446">
        <w:rPr>
          <w:rFonts w:ascii="Calibri" w:hAnsi="Calibri" w:cs="Calibri"/>
          <w:b/>
          <w:lang w:val="en-US"/>
        </w:rPr>
        <w:t>.</w:t>
      </w:r>
      <w:r w:rsidR="00F85D54">
        <w:rPr>
          <w:rFonts w:ascii="Calibri" w:hAnsi="Calibri" w:cs="Calibri"/>
          <w:b/>
          <w:lang w:val="en-US"/>
        </w:rPr>
        <w:t>06</w:t>
      </w:r>
      <w:r w:rsidR="00A95BB0">
        <w:rPr>
          <w:rFonts w:ascii="Calibri" w:hAnsi="Calibri" w:cs="Calibri"/>
          <w:b/>
          <w:lang w:val="en-US"/>
        </w:rPr>
        <w:t>.</w:t>
      </w:r>
      <w:r w:rsidR="00C7544B">
        <w:rPr>
          <w:rFonts w:ascii="Calibri" w:hAnsi="Calibri" w:cs="Calibri"/>
          <w:b/>
          <w:lang w:val="en-US"/>
        </w:rPr>
        <w:t>2022</w:t>
      </w:r>
      <w:r w:rsidR="00204164" w:rsidRPr="00686446">
        <w:rPr>
          <w:rFonts w:ascii="Calibri" w:hAnsi="Calibri" w:cs="Calibri"/>
          <w:b/>
          <w:lang w:val="en-US"/>
        </w:rPr>
        <w:t>.</w:t>
      </w:r>
    </w:p>
    <w:p w:rsidR="005B04B1" w:rsidRDefault="005B04B1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E14F1F" w:rsidRPr="00686446" w:rsidRDefault="001107DD" w:rsidP="009D2BFA">
      <w:p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lastRenderedPageBreak/>
        <w:t>Cilj ovog Izvještaja je da</w:t>
      </w:r>
      <w:r w:rsidR="00F46D98" w:rsidRPr="00686446">
        <w:rPr>
          <w:rFonts w:ascii="Calibri" w:hAnsi="Calibri" w:cs="Calibri"/>
          <w:lang w:val="en-US"/>
        </w:rPr>
        <w:t xml:space="preserve"> Upravni odbor</w:t>
      </w:r>
      <w:r w:rsidR="00A85E47" w:rsidRPr="00686446">
        <w:rPr>
          <w:rFonts w:ascii="Calibri" w:hAnsi="Calibri" w:cs="Calibri"/>
          <w:lang w:val="en-US"/>
        </w:rPr>
        <w:t xml:space="preserve"> Društva za upravljan</w:t>
      </w:r>
      <w:r w:rsidR="00A4596A" w:rsidRPr="00686446">
        <w:rPr>
          <w:rFonts w:ascii="Calibri" w:hAnsi="Calibri" w:cs="Calibri"/>
          <w:lang w:val="en-US"/>
        </w:rPr>
        <w:t>je</w:t>
      </w:r>
      <w:r w:rsidRPr="00686446">
        <w:rPr>
          <w:rFonts w:ascii="Calibri" w:hAnsi="Calibri" w:cs="Calibri"/>
          <w:lang w:val="en-US"/>
        </w:rPr>
        <w:t xml:space="preserve"> investi</w:t>
      </w:r>
      <w:r w:rsidR="00F80DA1" w:rsidRPr="00686446">
        <w:rPr>
          <w:rFonts w:ascii="Calibri" w:hAnsi="Calibri" w:cs="Calibri"/>
          <w:lang w:val="en-US"/>
        </w:rPr>
        <w:t xml:space="preserve">cionim fondovima </w:t>
      </w:r>
      <w:r w:rsidR="00DC67C2" w:rsidRPr="00686446">
        <w:rPr>
          <w:rFonts w:ascii="Calibri" w:hAnsi="Calibri" w:cs="Calibri"/>
          <w:lang w:val="en-US"/>
        </w:rPr>
        <w:t xml:space="preserve">Kristal Invest a.d. Banja Luka </w:t>
      </w:r>
      <w:r w:rsidR="00F80DA1" w:rsidRPr="00686446">
        <w:rPr>
          <w:rFonts w:ascii="Calibri" w:hAnsi="Calibri" w:cs="Calibri"/>
          <w:lang w:val="en-US"/>
        </w:rPr>
        <w:t>upoznamo sa sl</w:t>
      </w:r>
      <w:r w:rsidRPr="00686446">
        <w:rPr>
          <w:rFonts w:ascii="Calibri" w:hAnsi="Calibri" w:cs="Calibri"/>
          <w:lang w:val="en-US"/>
        </w:rPr>
        <w:t xml:space="preserve">jedećim: </w:t>
      </w:r>
    </w:p>
    <w:p w:rsidR="00C45F8A" w:rsidRPr="00686446" w:rsidRDefault="00C45F8A" w:rsidP="009D2BFA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Kretanjem</w:t>
      </w:r>
      <w:r w:rsidR="008E0EA9" w:rsidRPr="00686446">
        <w:rPr>
          <w:rFonts w:ascii="Calibri" w:hAnsi="Calibri" w:cs="Calibri"/>
          <w:lang w:val="en-US"/>
        </w:rPr>
        <w:t xml:space="preserve"> berzanskih</w:t>
      </w:r>
      <w:r w:rsidRPr="00686446">
        <w:rPr>
          <w:rFonts w:ascii="Calibri" w:hAnsi="Calibri" w:cs="Calibri"/>
          <w:lang w:val="en-US"/>
        </w:rPr>
        <w:t xml:space="preserve"> indeksa na domaćim i berzama u okruženju u izvještajnom periodu</w:t>
      </w:r>
      <w:r w:rsidR="005833C3" w:rsidRPr="00686446">
        <w:rPr>
          <w:rFonts w:ascii="Calibri" w:hAnsi="Calibri" w:cs="Calibri"/>
        </w:rPr>
        <w:t>;</w:t>
      </w:r>
    </w:p>
    <w:p w:rsidR="00871469" w:rsidRDefault="00DC67C2" w:rsidP="0081129B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Kupovinama i prodajama hov</w:t>
      </w:r>
      <w:r w:rsidR="0081129B">
        <w:rPr>
          <w:rFonts w:ascii="Calibri" w:hAnsi="Calibri" w:cs="Calibri"/>
          <w:lang w:val="en-US"/>
        </w:rPr>
        <w:t xml:space="preserve"> iz portfelja </w:t>
      </w:r>
      <w:r w:rsidR="0081129B" w:rsidRPr="0081129B">
        <w:rPr>
          <w:rFonts w:ascii="Calibri" w:hAnsi="Calibri" w:cs="Calibri"/>
          <w:lang w:val="en-US"/>
        </w:rPr>
        <w:t>O</w:t>
      </w:r>
      <w:r w:rsidR="004C7334">
        <w:rPr>
          <w:rFonts w:ascii="Calibri" w:hAnsi="Calibri" w:cs="Calibri"/>
          <w:lang w:val="en-US"/>
        </w:rPr>
        <w:t>A</w:t>
      </w:r>
      <w:r w:rsidR="0081129B" w:rsidRPr="0081129B">
        <w:rPr>
          <w:rFonts w:ascii="Calibri" w:hAnsi="Calibri" w:cs="Calibri"/>
          <w:lang w:val="en-US"/>
        </w:rPr>
        <w:t xml:space="preserve">IF-a </w:t>
      </w:r>
      <w:r w:rsidR="008F5DCC">
        <w:rPr>
          <w:rFonts w:ascii="Calibri" w:hAnsi="Calibri" w:cs="Calibri"/>
          <w:lang w:val="en-US"/>
        </w:rPr>
        <w:t>Future</w:t>
      </w:r>
      <w:r w:rsidR="00D57739">
        <w:rPr>
          <w:rFonts w:ascii="Calibri" w:hAnsi="Calibri" w:cs="Calibri"/>
          <w:lang w:val="en-US"/>
        </w:rPr>
        <w:t xml:space="preserve"> fund</w:t>
      </w:r>
    </w:p>
    <w:p w:rsidR="00BB0EC3" w:rsidRDefault="00BB0EC3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Kretanjem neto vrijednosti imovine Fonda</w:t>
      </w:r>
    </w:p>
    <w:p w:rsidR="00BB0EC3" w:rsidRPr="00686446" w:rsidRDefault="00BB0EC3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BB0EC3">
        <w:rPr>
          <w:rFonts w:ascii="Calibri" w:hAnsi="Calibri" w:cs="Calibri"/>
          <w:lang w:val="en-US"/>
        </w:rPr>
        <w:t>Portfeljem Fonda</w:t>
      </w:r>
    </w:p>
    <w:p w:rsidR="00C45F8A" w:rsidRPr="00BB0EC3" w:rsidRDefault="00C45F8A" w:rsidP="00304DAF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Bilansnim pokazateljima</w:t>
      </w:r>
      <w:r w:rsidR="00E1634A">
        <w:rPr>
          <w:rFonts w:ascii="Calibri" w:hAnsi="Calibri" w:cs="Calibri"/>
          <w:lang w:val="en-US"/>
        </w:rPr>
        <w:t xml:space="preserve"> </w:t>
      </w:r>
      <w:r w:rsidR="00304DAF" w:rsidRPr="00304DAF">
        <w:rPr>
          <w:rFonts w:ascii="Calibri" w:hAnsi="Calibri" w:cs="Calibri"/>
          <w:lang w:val="en-US"/>
        </w:rPr>
        <w:t>O</w:t>
      </w:r>
      <w:r w:rsidR="004C7334">
        <w:rPr>
          <w:rFonts w:ascii="Calibri" w:hAnsi="Calibri" w:cs="Calibri"/>
          <w:lang w:val="en-US"/>
        </w:rPr>
        <w:t>A</w:t>
      </w:r>
      <w:r w:rsidR="00304DAF" w:rsidRPr="00304DAF">
        <w:rPr>
          <w:rFonts w:ascii="Calibri" w:hAnsi="Calibri" w:cs="Calibri"/>
          <w:lang w:val="en-US"/>
        </w:rPr>
        <w:t xml:space="preserve">IF-a </w:t>
      </w:r>
      <w:r w:rsidR="008F5DCC">
        <w:rPr>
          <w:rFonts w:ascii="Calibri" w:hAnsi="Calibri" w:cs="Calibri"/>
          <w:lang w:val="en-US"/>
        </w:rPr>
        <w:t>Future</w:t>
      </w:r>
      <w:r w:rsidR="00304DAF" w:rsidRPr="00304DAF">
        <w:rPr>
          <w:rFonts w:ascii="Calibri" w:hAnsi="Calibri" w:cs="Calibri"/>
          <w:lang w:val="en-US"/>
        </w:rPr>
        <w:t xml:space="preserve"> fund</w:t>
      </w:r>
    </w:p>
    <w:p w:rsidR="00E3145B" w:rsidRPr="00686446" w:rsidRDefault="00E3145B" w:rsidP="00E3145B">
      <w:pPr>
        <w:ind w:left="360"/>
        <w:rPr>
          <w:rFonts w:ascii="Calibri" w:hAnsi="Calibri" w:cs="Calibri"/>
          <w:lang w:val="en-US"/>
        </w:rPr>
      </w:pPr>
    </w:p>
    <w:p w:rsidR="0034280D" w:rsidRPr="00686446" w:rsidRDefault="0034280D" w:rsidP="00E3145B">
      <w:pPr>
        <w:ind w:left="360"/>
        <w:rPr>
          <w:rFonts w:ascii="Calibri" w:hAnsi="Calibri" w:cs="Calibri"/>
          <w:lang w:val="en-US"/>
        </w:rPr>
      </w:pPr>
    </w:p>
    <w:p w:rsidR="00645F2D" w:rsidRPr="00686446" w:rsidRDefault="004C1E16" w:rsidP="0034280D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686446">
        <w:rPr>
          <w:rFonts w:ascii="Calibri" w:hAnsi="Calibri" w:cs="Calibri"/>
          <w:b/>
        </w:rPr>
        <w:t>Kretanje berzanskih indeksa</w:t>
      </w:r>
    </w:p>
    <w:p w:rsidR="0034280D" w:rsidRPr="00686446" w:rsidRDefault="0034280D" w:rsidP="0034280D">
      <w:pPr>
        <w:jc w:val="both"/>
        <w:rPr>
          <w:rFonts w:ascii="Calibri" w:hAnsi="Calibri" w:cs="Calibri"/>
          <w:b/>
        </w:rPr>
      </w:pPr>
    </w:p>
    <w:p w:rsidR="00663680" w:rsidRPr="004A5A09" w:rsidRDefault="00663680" w:rsidP="00663680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>U ovom dijelu izvještaja</w:t>
      </w:r>
      <w:r>
        <w:rPr>
          <w:rFonts w:ascii="Calibri" w:hAnsi="Calibri" w:cs="Calibri"/>
        </w:rPr>
        <w:t xml:space="preserve"> nalazi se</w:t>
      </w:r>
      <w:r w:rsidR="00EB04D2">
        <w:rPr>
          <w:rFonts w:ascii="Calibri" w:hAnsi="Calibri" w:cs="Calibri"/>
        </w:rPr>
        <w:t xml:space="preserve"> prikaz osnovnih podataka</w:t>
      </w:r>
      <w:r>
        <w:rPr>
          <w:rFonts w:ascii="Calibri" w:hAnsi="Calibri" w:cs="Calibri"/>
        </w:rPr>
        <w:t xml:space="preserve"> i </w:t>
      </w:r>
      <w:r w:rsidRPr="004A5A09">
        <w:rPr>
          <w:rFonts w:ascii="Calibri" w:hAnsi="Calibri" w:cs="Calibri"/>
        </w:rPr>
        <w:t xml:space="preserve">komentar dešavanja na Banjalučkoj berzi, </w:t>
      </w:r>
      <w:r>
        <w:rPr>
          <w:rFonts w:ascii="Calibri" w:hAnsi="Calibri" w:cs="Calibri"/>
        </w:rPr>
        <w:t xml:space="preserve">te </w:t>
      </w:r>
      <w:r w:rsidRPr="004A5A09">
        <w:rPr>
          <w:rFonts w:ascii="Calibri" w:hAnsi="Calibri" w:cs="Calibri"/>
        </w:rPr>
        <w:t>kretanje vrijednosti osno</w:t>
      </w:r>
      <w:r>
        <w:rPr>
          <w:rFonts w:ascii="Calibri" w:hAnsi="Calibri" w:cs="Calibri"/>
        </w:rPr>
        <w:t>vnih indeksa regionalnih</w:t>
      </w:r>
      <w:r w:rsidR="00051D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berzi. 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663680" w:rsidRPr="003F146E" w:rsidRDefault="00663680" w:rsidP="00663680">
      <w:pPr>
        <w:rPr>
          <w:rFonts w:ascii="Calibri" w:hAnsi="Calibri" w:cs="Calibri"/>
          <w:i/>
          <w:u w:val="single"/>
        </w:rPr>
      </w:pPr>
      <w:r w:rsidRPr="003F146E">
        <w:rPr>
          <w:rFonts w:ascii="Calibri" w:hAnsi="Calibri" w:cs="Calibri"/>
          <w:i/>
          <w:u w:val="single"/>
        </w:rPr>
        <w:t>Banjalučka berza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663680" w:rsidRDefault="00663680" w:rsidP="00663680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>U narednoj tabeli prikazani su mjesečni iznosi vrijednosti ukupnog prometa te visina osnovnih berzanskih indeksa Banjalučke berze za izvještajni vremenski perio</w:t>
      </w:r>
      <w:r>
        <w:rPr>
          <w:rFonts w:ascii="Calibri" w:hAnsi="Calibri" w:cs="Calibri"/>
        </w:rPr>
        <w:t>d</w:t>
      </w:r>
      <w:r w:rsidRPr="004A5A09">
        <w:rPr>
          <w:rFonts w:ascii="Calibri" w:hAnsi="Calibri" w:cs="Calibri"/>
        </w:rPr>
        <w:t>:</w:t>
      </w:r>
    </w:p>
    <w:p w:rsidR="009B6437" w:rsidRDefault="009B6437" w:rsidP="00663680">
      <w:pPr>
        <w:jc w:val="both"/>
        <w:rPr>
          <w:rFonts w:ascii="Calibri" w:hAnsi="Calibri" w:cs="Calibri"/>
        </w:rPr>
      </w:pPr>
    </w:p>
    <w:p w:rsidR="00D8684A" w:rsidRPr="004A5A09" w:rsidRDefault="00D8684A" w:rsidP="00663680">
      <w:pPr>
        <w:jc w:val="both"/>
        <w:rPr>
          <w:rFonts w:ascii="Calibri" w:hAnsi="Calibri" w:cs="Calibri"/>
        </w:rPr>
      </w:pPr>
    </w:p>
    <w:tbl>
      <w:tblPr>
        <w:tblW w:w="8974" w:type="dxa"/>
        <w:tblLook w:val="04A0" w:firstRow="1" w:lastRow="0" w:firstColumn="1" w:lastColumn="0" w:noHBand="0" w:noVBand="1"/>
      </w:tblPr>
      <w:tblGrid>
        <w:gridCol w:w="2638"/>
        <w:gridCol w:w="2638"/>
        <w:gridCol w:w="1849"/>
        <w:gridCol w:w="1849"/>
      </w:tblGrid>
      <w:tr w:rsidR="00166143" w:rsidTr="00166143">
        <w:trPr>
          <w:trHeight w:val="280"/>
        </w:trPr>
        <w:tc>
          <w:tcPr>
            <w:tcW w:w="263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166143" w:rsidRDefault="00166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263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166143" w:rsidRDefault="00166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PROMET u KM</w:t>
            </w:r>
          </w:p>
        </w:tc>
        <w:tc>
          <w:tcPr>
            <w:tcW w:w="184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166143" w:rsidRDefault="00166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BIRS</w:t>
            </w:r>
          </w:p>
        </w:tc>
        <w:tc>
          <w:tcPr>
            <w:tcW w:w="184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166143" w:rsidRDefault="001661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ORS</w:t>
            </w:r>
          </w:p>
        </w:tc>
      </w:tr>
      <w:tr w:rsidR="00166143" w:rsidTr="00166143">
        <w:trPr>
          <w:trHeight w:val="266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667,93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2.920,61</w:t>
            </w:r>
          </w:p>
        </w:tc>
      </w:tr>
      <w:tr w:rsidR="00166143" w:rsidTr="00166143">
        <w:trPr>
          <w:trHeight w:val="266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143" w:rsidRDefault="001661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9.370.057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842,83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2.925,66</w:t>
            </w:r>
          </w:p>
        </w:tc>
      </w:tr>
      <w:tr w:rsidR="00166143" w:rsidTr="00166143">
        <w:trPr>
          <w:trHeight w:val="266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166143" w:rsidRDefault="001661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12.368.017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782,39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2.941,56</w:t>
            </w:r>
          </w:p>
        </w:tc>
      </w:tr>
      <w:tr w:rsidR="00166143" w:rsidTr="00166143">
        <w:trPr>
          <w:trHeight w:val="266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143" w:rsidRDefault="001661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111.747.627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792,26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2.937,52</w:t>
            </w:r>
          </w:p>
        </w:tc>
      </w:tr>
      <w:tr w:rsidR="00166143" w:rsidTr="00166143">
        <w:trPr>
          <w:trHeight w:val="266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166143" w:rsidRDefault="0016614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70.905.547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789,99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2.938,64</w:t>
            </w:r>
          </w:p>
        </w:tc>
      </w:tr>
      <w:tr w:rsidR="00166143" w:rsidTr="00166143">
        <w:trPr>
          <w:trHeight w:val="266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143" w:rsidRDefault="0016614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64.144.270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791,50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2.931,51</w:t>
            </w:r>
          </w:p>
        </w:tc>
      </w:tr>
      <w:tr w:rsidR="00166143" w:rsidTr="00166143">
        <w:trPr>
          <w:trHeight w:val="280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166143" w:rsidRDefault="0016614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25.928.847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738,44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2.938,81</w:t>
            </w:r>
          </w:p>
        </w:tc>
      </w:tr>
      <w:tr w:rsidR="00166143" w:rsidTr="00166143">
        <w:trPr>
          <w:trHeight w:val="293"/>
        </w:trPr>
        <w:tc>
          <w:tcPr>
            <w:tcW w:w="2638" w:type="dxa"/>
            <w:tcBorders>
              <w:top w:val="single" w:sz="12" w:space="0" w:color="B7DEE8"/>
              <w:left w:val="nil"/>
              <w:bottom w:val="single" w:sz="12" w:space="0" w:color="B7DEE8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2022</w:t>
            </w:r>
          </w:p>
        </w:tc>
        <w:tc>
          <w:tcPr>
            <w:tcW w:w="2638" w:type="dxa"/>
            <w:tcBorders>
              <w:top w:val="single" w:sz="12" w:space="0" w:color="B7DEE8"/>
              <w:left w:val="nil"/>
              <w:bottom w:val="single" w:sz="12" w:space="0" w:color="B7DEE8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single" w:sz="12" w:space="0" w:color="B7DEE8"/>
              <w:left w:val="nil"/>
              <w:bottom w:val="single" w:sz="12" w:space="0" w:color="B7DEE8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10,56%</w:t>
            </w:r>
          </w:p>
        </w:tc>
        <w:tc>
          <w:tcPr>
            <w:tcW w:w="1849" w:type="dxa"/>
            <w:tcBorders>
              <w:top w:val="single" w:sz="12" w:space="0" w:color="B7DEE8"/>
              <w:left w:val="nil"/>
              <w:bottom w:val="single" w:sz="12" w:space="0" w:color="B7DEE8"/>
              <w:right w:val="nil"/>
            </w:tcBorders>
            <w:shd w:val="clear" w:color="auto" w:fill="auto"/>
            <w:noWrap/>
            <w:vAlign w:val="center"/>
            <w:hideMark/>
          </w:tcPr>
          <w:p w:rsidR="00166143" w:rsidRDefault="001661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0,62%</w:t>
            </w:r>
          </w:p>
        </w:tc>
      </w:tr>
    </w:tbl>
    <w:p w:rsidR="00663680" w:rsidRDefault="00663680" w:rsidP="00663680">
      <w:pPr>
        <w:jc w:val="both"/>
        <w:rPr>
          <w:rFonts w:ascii="Calibri" w:hAnsi="Calibri" w:cs="Calibri"/>
        </w:rPr>
      </w:pPr>
    </w:p>
    <w:p w:rsidR="0089299E" w:rsidRDefault="00F51930" w:rsidP="008929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odnosu</w:t>
      </w:r>
      <w:r w:rsidR="00C078BD">
        <w:rPr>
          <w:rFonts w:ascii="Calibri" w:hAnsi="Calibri" w:cs="Calibri"/>
        </w:rPr>
        <w:t xml:space="preserve"> na 31.12.2021.godine, na dan 30.06</w:t>
      </w:r>
      <w:r>
        <w:rPr>
          <w:rFonts w:ascii="Calibri" w:hAnsi="Calibri" w:cs="Calibri"/>
        </w:rPr>
        <w:t>.2022</w:t>
      </w:r>
      <w:r w:rsidR="0089299E">
        <w:rPr>
          <w:rFonts w:ascii="Calibri" w:hAnsi="Calibri" w:cs="Calibri"/>
        </w:rPr>
        <w:t>.go</w:t>
      </w:r>
      <w:r>
        <w:rPr>
          <w:rFonts w:ascii="Calibri" w:hAnsi="Calibri" w:cs="Calibri"/>
        </w:rPr>
        <w:t>dine in</w:t>
      </w:r>
      <w:r w:rsidR="00C078BD">
        <w:rPr>
          <w:rFonts w:ascii="Calibri" w:hAnsi="Calibri" w:cs="Calibri"/>
        </w:rPr>
        <w:t>deks BIRS ostvario je rast od 10,56</w:t>
      </w:r>
      <w:r w:rsidR="0089299E" w:rsidRPr="00762AF6">
        <w:rPr>
          <w:rFonts w:ascii="Calibri" w:hAnsi="Calibri" w:cs="Calibri"/>
        </w:rPr>
        <w:t xml:space="preserve">%, </w:t>
      </w:r>
      <w:r>
        <w:rPr>
          <w:rFonts w:ascii="Calibri" w:hAnsi="Calibri" w:cs="Calibri"/>
          <w:lang w:val="sr-Latn-BA"/>
        </w:rPr>
        <w:t>najvećim dijelom zbog snažnog rasta cijena akcija iz sistema elektroprivrede i Telekoma Srpske</w:t>
      </w:r>
      <w:r w:rsidR="00C078BD">
        <w:rPr>
          <w:rFonts w:ascii="Calibri" w:hAnsi="Calibri" w:cs="Calibri"/>
          <w:lang w:val="sr-Latn-BA"/>
        </w:rPr>
        <w:t xml:space="preserve"> u prvom kvartalu</w:t>
      </w:r>
      <w:r>
        <w:rPr>
          <w:rFonts w:ascii="Calibri" w:hAnsi="Calibri" w:cs="Calibri"/>
          <w:lang w:val="sr-Latn-BA"/>
        </w:rPr>
        <w:t xml:space="preserve"> </w:t>
      </w:r>
      <w:r>
        <w:rPr>
          <w:rFonts w:ascii="Calibri" w:hAnsi="Calibri" w:cs="Calibri"/>
        </w:rPr>
        <w:t>dok je s</w:t>
      </w:r>
      <w:r w:rsidR="0089299E">
        <w:rPr>
          <w:rFonts w:ascii="Calibri" w:hAnsi="Calibri" w:cs="Calibri"/>
        </w:rPr>
        <w:t xml:space="preserve">a druge strane, </w:t>
      </w:r>
      <w:r w:rsidR="0089299E" w:rsidRPr="00406206">
        <w:rPr>
          <w:rFonts w:ascii="Calibri" w:hAnsi="Calibri" w:cs="Calibri"/>
        </w:rPr>
        <w:t>Indeks obveznica Republike Srpske</w:t>
      </w:r>
      <w:r w:rsidR="008929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</w:t>
      </w:r>
      <w:r w:rsidR="0089299E">
        <w:rPr>
          <w:rFonts w:ascii="Calibri" w:hAnsi="Calibri" w:cs="Calibri"/>
        </w:rPr>
        <w:t>bilježi</w:t>
      </w:r>
      <w:r>
        <w:rPr>
          <w:rFonts w:ascii="Calibri" w:hAnsi="Calibri" w:cs="Calibri"/>
        </w:rPr>
        <w:t>o</w:t>
      </w:r>
      <w:r w:rsidR="0089299E">
        <w:rPr>
          <w:rFonts w:ascii="Calibri" w:hAnsi="Calibri" w:cs="Calibri"/>
        </w:rPr>
        <w:t xml:space="preserve"> blagi rast u posmatranom periodu, </w:t>
      </w:r>
      <w:r w:rsidR="00C078BD">
        <w:rPr>
          <w:rFonts w:ascii="Calibri" w:hAnsi="Calibri" w:cs="Calibri"/>
        </w:rPr>
        <w:t xml:space="preserve">tako da je u prvom </w:t>
      </w:r>
      <w:r w:rsidR="00C078BD">
        <w:rPr>
          <w:rFonts w:ascii="Calibri" w:hAnsi="Calibri" w:cs="Calibri"/>
          <w:lang w:val="sr-Latn-BA"/>
        </w:rPr>
        <w:t>polugodištu</w:t>
      </w:r>
      <w:r>
        <w:rPr>
          <w:rFonts w:ascii="Calibri" w:hAnsi="Calibri" w:cs="Calibri"/>
        </w:rPr>
        <w:t xml:space="preserve"> 2022.godine ostvario rast od 0</w:t>
      </w:r>
      <w:r w:rsidR="009B6437">
        <w:rPr>
          <w:rFonts w:ascii="Calibri" w:hAnsi="Calibri" w:cs="Calibri"/>
        </w:rPr>
        <w:t>,62</w:t>
      </w:r>
      <w:r w:rsidR="0089299E">
        <w:rPr>
          <w:rFonts w:ascii="Calibri" w:hAnsi="Calibri" w:cs="Calibri"/>
        </w:rPr>
        <w:t>%.</w:t>
      </w:r>
    </w:p>
    <w:p w:rsidR="0089299E" w:rsidRDefault="0089299E" w:rsidP="008929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Najve</w:t>
      </w:r>
      <w:r w:rsidR="00F51930">
        <w:rPr>
          <w:rFonts w:ascii="Calibri" w:hAnsi="Calibri" w:cs="Calibri"/>
        </w:rPr>
        <w:t>ći dio ostvarenog prometa u 2022</w:t>
      </w:r>
      <w:r>
        <w:rPr>
          <w:rFonts w:ascii="Calibri" w:hAnsi="Calibri" w:cs="Calibri"/>
        </w:rPr>
        <w:t xml:space="preserve">.godini odnosio se </w:t>
      </w:r>
      <w:r w:rsidRPr="004A5A09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emisije trezorskih zapisa i </w:t>
      </w:r>
      <w:r w:rsidRPr="004A5A09">
        <w:rPr>
          <w:rFonts w:ascii="Calibri" w:hAnsi="Calibri" w:cs="Calibri"/>
        </w:rPr>
        <w:t>primarne emisije obveznica</w:t>
      </w:r>
      <w:r>
        <w:rPr>
          <w:rFonts w:ascii="Calibri" w:hAnsi="Calibri" w:cs="Calibri"/>
        </w:rPr>
        <w:t xml:space="preserve"> </w:t>
      </w:r>
      <w:r w:rsidRPr="004A5A09">
        <w:rPr>
          <w:rFonts w:ascii="Calibri" w:hAnsi="Calibri" w:cs="Calibri"/>
        </w:rPr>
        <w:t>emitovanih od strane Republike</w:t>
      </w:r>
      <w:r>
        <w:rPr>
          <w:rFonts w:ascii="Calibri" w:hAnsi="Calibri" w:cs="Calibri"/>
        </w:rPr>
        <w:t xml:space="preserve"> Srpske. </w:t>
      </w:r>
    </w:p>
    <w:p w:rsidR="009B6437" w:rsidRDefault="009B6437" w:rsidP="0089299E">
      <w:pPr>
        <w:jc w:val="both"/>
        <w:rPr>
          <w:rFonts w:ascii="Calibri" w:hAnsi="Calibri" w:cs="Calibri"/>
        </w:rPr>
      </w:pPr>
    </w:p>
    <w:p w:rsidR="00663680" w:rsidRDefault="00663680" w:rsidP="00663680">
      <w:pPr>
        <w:rPr>
          <w:rFonts w:ascii="Calibri" w:hAnsi="Calibri" w:cs="Calibri"/>
        </w:rPr>
      </w:pPr>
    </w:p>
    <w:p w:rsidR="00663680" w:rsidRPr="003F146E" w:rsidRDefault="00663680" w:rsidP="00663680">
      <w:pPr>
        <w:rPr>
          <w:rFonts w:ascii="Calibri" w:hAnsi="Calibri" w:cs="Calibri"/>
          <w:i/>
          <w:u w:val="single"/>
        </w:rPr>
      </w:pPr>
      <w:r w:rsidRPr="003F146E">
        <w:rPr>
          <w:rFonts w:ascii="Calibri" w:hAnsi="Calibri" w:cs="Calibri"/>
          <w:i/>
          <w:u w:val="single"/>
        </w:rPr>
        <w:t>Regionalne berze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7D7F5A" w:rsidRDefault="00663680" w:rsidP="00E3031B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 xml:space="preserve">U narednoj tabeli prikazane su vrijednosti regionalnih berzanskih indeksa, za izvještajni vremenski period. </w:t>
      </w:r>
      <w:r>
        <w:rPr>
          <w:rFonts w:ascii="Calibri" w:hAnsi="Calibri" w:cs="Calibri"/>
        </w:rPr>
        <w:t>Pod regionalnim berzama podrazumijevamo berze na području bivše Jugoslavije, sa izuzetkom Banjalučke berze.</w:t>
      </w:r>
    </w:p>
    <w:p w:rsidR="009B6437" w:rsidRDefault="009B6437" w:rsidP="00E3031B">
      <w:pPr>
        <w:jc w:val="both"/>
        <w:rPr>
          <w:rFonts w:ascii="Calibri" w:hAnsi="Calibri" w:cs="Calibri"/>
        </w:rPr>
      </w:pPr>
    </w:p>
    <w:p w:rsidR="00F51930" w:rsidRDefault="00F51930" w:rsidP="00E3031B">
      <w:pPr>
        <w:jc w:val="both"/>
        <w:rPr>
          <w:rFonts w:ascii="Calibri" w:hAnsi="Calibri" w:cs="Calibri"/>
        </w:rPr>
      </w:pPr>
    </w:p>
    <w:tbl>
      <w:tblPr>
        <w:tblW w:w="9049" w:type="dxa"/>
        <w:tblLook w:val="04A0" w:firstRow="1" w:lastRow="0" w:firstColumn="1" w:lastColumn="0" w:noHBand="0" w:noVBand="1"/>
      </w:tblPr>
      <w:tblGrid>
        <w:gridCol w:w="2189"/>
        <w:gridCol w:w="1368"/>
        <w:gridCol w:w="1283"/>
        <w:gridCol w:w="1389"/>
        <w:gridCol w:w="1347"/>
        <w:gridCol w:w="1473"/>
      </w:tblGrid>
      <w:tr w:rsidR="00C12303" w:rsidTr="009B6437">
        <w:trPr>
          <w:trHeight w:val="302"/>
        </w:trPr>
        <w:tc>
          <w:tcPr>
            <w:tcW w:w="2189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MJESEC</w:t>
            </w:r>
          </w:p>
        </w:tc>
        <w:tc>
          <w:tcPr>
            <w:tcW w:w="1368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SASX10 (Sarajevo)</w:t>
            </w:r>
          </w:p>
        </w:tc>
        <w:tc>
          <w:tcPr>
            <w:tcW w:w="1283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BELEX15 (Beograd)</w:t>
            </w:r>
          </w:p>
        </w:tc>
        <w:tc>
          <w:tcPr>
            <w:tcW w:w="1389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CROBEX (Zagreb)</w:t>
            </w:r>
          </w:p>
        </w:tc>
        <w:tc>
          <w:tcPr>
            <w:tcW w:w="1347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MNSE10 (Crna Gora)</w:t>
            </w:r>
          </w:p>
        </w:tc>
        <w:tc>
          <w:tcPr>
            <w:tcW w:w="1473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SBI TOP (Ljubljana)</w:t>
            </w:r>
          </w:p>
        </w:tc>
      </w:tr>
      <w:tr w:rsidR="00C12303" w:rsidTr="009B6437">
        <w:trPr>
          <w:trHeight w:val="318"/>
        </w:trPr>
        <w:tc>
          <w:tcPr>
            <w:tcW w:w="2189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2303" w:rsidTr="009B6437">
        <w:trPr>
          <w:trHeight w:val="30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991,92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820,78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2.079,35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764,72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1.258,80</w:t>
            </w:r>
          </w:p>
        </w:tc>
      </w:tr>
      <w:tr w:rsidR="00C12303" w:rsidTr="009B6437">
        <w:trPr>
          <w:trHeight w:val="30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965,45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858,86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2.132,61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776,46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1.290,79</w:t>
            </w:r>
          </w:p>
        </w:tc>
      </w:tr>
      <w:tr w:rsidR="00C12303" w:rsidTr="009B6437">
        <w:trPr>
          <w:trHeight w:val="30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940,90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834,64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1.999,68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763,36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1.093,91</w:t>
            </w:r>
          </w:p>
        </w:tc>
      </w:tr>
      <w:tr w:rsidR="00C12303" w:rsidTr="009B6437">
        <w:trPr>
          <w:trHeight w:val="30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917,40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840,53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2.098,47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778,83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1.206,03</w:t>
            </w:r>
          </w:p>
        </w:tc>
      </w:tr>
      <w:tr w:rsidR="00C12303" w:rsidTr="009B6437">
        <w:trPr>
          <w:trHeight w:val="30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959,80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827,16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2.129,32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790,67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1.171,97</w:t>
            </w:r>
          </w:p>
        </w:tc>
      </w:tr>
      <w:tr w:rsidR="00C12303" w:rsidTr="009B6437">
        <w:trPr>
          <w:trHeight w:val="30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954,21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830,92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2.078,38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793,20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1.145,90</w:t>
            </w:r>
          </w:p>
        </w:tc>
      </w:tr>
      <w:tr w:rsidR="00C12303" w:rsidTr="009B6437">
        <w:trPr>
          <w:trHeight w:val="31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1.012,88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839,62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2.012,13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806,57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1.118,45</w:t>
            </w:r>
          </w:p>
        </w:tc>
      </w:tr>
      <w:tr w:rsidR="00C12303" w:rsidTr="009B6437">
        <w:trPr>
          <w:trHeight w:val="318"/>
        </w:trPr>
        <w:tc>
          <w:tcPr>
            <w:tcW w:w="21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2022</w:t>
            </w:r>
          </w:p>
        </w:tc>
        <w:tc>
          <w:tcPr>
            <w:tcW w:w="136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2,11%</w:t>
            </w:r>
          </w:p>
        </w:tc>
        <w:tc>
          <w:tcPr>
            <w:tcW w:w="128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2,30%</w:t>
            </w:r>
          </w:p>
        </w:tc>
        <w:tc>
          <w:tcPr>
            <w:tcW w:w="13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-3,23%</w:t>
            </w:r>
          </w:p>
        </w:tc>
        <w:tc>
          <w:tcPr>
            <w:tcW w:w="134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5,47%</w:t>
            </w:r>
          </w:p>
        </w:tc>
        <w:tc>
          <w:tcPr>
            <w:tcW w:w="147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-11,15%</w:t>
            </w:r>
          </w:p>
        </w:tc>
      </w:tr>
    </w:tbl>
    <w:p w:rsidR="005B6F3D" w:rsidRDefault="005B6F3D" w:rsidP="00E3031B">
      <w:pPr>
        <w:jc w:val="both"/>
        <w:rPr>
          <w:rFonts w:ascii="Calibri" w:hAnsi="Calibri" w:cs="Calibri"/>
        </w:rPr>
      </w:pPr>
    </w:p>
    <w:p w:rsidR="0089299E" w:rsidRPr="00FA15D8" w:rsidRDefault="0089299E" w:rsidP="0089299E">
      <w:pPr>
        <w:jc w:val="both"/>
        <w:rPr>
          <w:rFonts w:ascii="Calibri" w:hAnsi="Calibri" w:cs="Calibri"/>
        </w:rPr>
      </w:pPr>
      <w:r w:rsidRPr="00FA15D8">
        <w:rPr>
          <w:rFonts w:ascii="Calibri" w:hAnsi="Calibri" w:cs="Calibri"/>
        </w:rPr>
        <w:t xml:space="preserve">U </w:t>
      </w:r>
      <w:r w:rsidR="009B6437">
        <w:rPr>
          <w:rFonts w:ascii="Calibri" w:hAnsi="Calibri" w:cs="Calibri"/>
        </w:rPr>
        <w:t>prvom polugodištu</w:t>
      </w:r>
      <w:r w:rsidR="00F51930">
        <w:rPr>
          <w:rFonts w:ascii="Calibri" w:hAnsi="Calibri" w:cs="Calibri"/>
        </w:rPr>
        <w:t xml:space="preserve"> tekuće godine</w:t>
      </w:r>
      <w:r>
        <w:rPr>
          <w:rFonts w:ascii="Calibri" w:hAnsi="Calibri" w:cs="Calibri"/>
        </w:rPr>
        <w:t xml:space="preserve"> regi</w:t>
      </w:r>
      <w:r w:rsidR="00F51930">
        <w:rPr>
          <w:rFonts w:ascii="Calibri" w:hAnsi="Calibri" w:cs="Calibri"/>
        </w:rPr>
        <w:t>onalne berze su zabilježile različita kretanja</w:t>
      </w:r>
      <w:r>
        <w:rPr>
          <w:rFonts w:ascii="Calibri" w:hAnsi="Calibri" w:cs="Calibri"/>
        </w:rPr>
        <w:t xml:space="preserve"> vrijednosti primarnih indeksa</w:t>
      </w:r>
      <w:r w:rsidRPr="00FA15D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Najveći rast je ostvario indeks </w:t>
      </w:r>
      <w:r w:rsidR="009B6437">
        <w:rPr>
          <w:rFonts w:ascii="Calibri" w:hAnsi="Calibri" w:cs="Calibri"/>
        </w:rPr>
        <w:t>MNSE10 crnogorske berze od 5,47</w:t>
      </w:r>
      <w:r w:rsidR="00F51930">
        <w:rPr>
          <w:rFonts w:ascii="Calibri" w:hAnsi="Calibri" w:cs="Calibri"/>
        </w:rPr>
        <w:t xml:space="preserve">% </w:t>
      </w:r>
      <w:r w:rsidR="00FE156A">
        <w:rPr>
          <w:rFonts w:ascii="Calibri" w:hAnsi="Calibri" w:cs="Calibri"/>
        </w:rPr>
        <w:t>zatim indeks</w:t>
      </w:r>
      <w:r w:rsidR="009B6437" w:rsidRPr="009B6437">
        <w:rPr>
          <w:rFonts w:ascii="Calibri" w:hAnsi="Calibri" w:cs="Calibri"/>
        </w:rPr>
        <w:t xml:space="preserve"> </w:t>
      </w:r>
      <w:r w:rsidR="009B6437">
        <w:rPr>
          <w:rFonts w:ascii="Calibri" w:hAnsi="Calibri" w:cs="Calibri"/>
        </w:rPr>
        <w:t>beogradske berze BELEX15</w:t>
      </w:r>
      <w:r w:rsidR="00FE156A">
        <w:rPr>
          <w:rFonts w:ascii="Calibri" w:hAnsi="Calibri" w:cs="Calibri"/>
        </w:rPr>
        <w:t xml:space="preserve"> </w:t>
      </w:r>
      <w:r w:rsidR="009B6437">
        <w:rPr>
          <w:rFonts w:ascii="Calibri" w:hAnsi="Calibri" w:cs="Calibri"/>
        </w:rPr>
        <w:t>koji je ostvario rast od 2,30</w:t>
      </w:r>
      <w:r w:rsidR="00FE156A">
        <w:rPr>
          <w:rFonts w:ascii="Calibri" w:hAnsi="Calibri" w:cs="Calibri"/>
        </w:rPr>
        <w:t xml:space="preserve">% </w:t>
      </w:r>
      <w:r>
        <w:rPr>
          <w:rFonts w:ascii="Calibri" w:hAnsi="Calibri" w:cs="Calibri"/>
        </w:rPr>
        <w:t xml:space="preserve">a zatim indeks </w:t>
      </w:r>
      <w:r w:rsidR="009B6437">
        <w:rPr>
          <w:rFonts w:ascii="Calibri" w:hAnsi="Calibri" w:cs="Calibri"/>
        </w:rPr>
        <w:t xml:space="preserve">Sarajevske berze (SASX10) </w:t>
      </w:r>
      <w:r>
        <w:rPr>
          <w:rFonts w:ascii="Calibri" w:hAnsi="Calibri" w:cs="Calibri"/>
        </w:rPr>
        <w:t>koji je od početka godine vi</w:t>
      </w:r>
      <w:r>
        <w:rPr>
          <w:rFonts w:ascii="Calibri" w:hAnsi="Calibri" w:cs="Calibri"/>
          <w:lang w:val="sr-Latn-BA"/>
        </w:rPr>
        <w:t>ši</w:t>
      </w:r>
      <w:r w:rsidR="009B6437">
        <w:rPr>
          <w:rFonts w:ascii="Calibri" w:hAnsi="Calibri" w:cs="Calibri"/>
        </w:rPr>
        <w:t xml:space="preserve"> za 2</w:t>
      </w:r>
      <w:r w:rsidR="00FE156A">
        <w:rPr>
          <w:rFonts w:ascii="Calibri" w:hAnsi="Calibri" w:cs="Calibri"/>
        </w:rPr>
        <w:t>,</w:t>
      </w:r>
      <w:r w:rsidR="009B6437">
        <w:rPr>
          <w:rFonts w:ascii="Calibri" w:hAnsi="Calibri" w:cs="Calibri"/>
        </w:rPr>
        <w:t>11</w:t>
      </w:r>
      <w:r w:rsidR="00FE156A">
        <w:rPr>
          <w:rFonts w:ascii="Calibri" w:hAnsi="Calibri" w:cs="Calibri"/>
        </w:rPr>
        <w:t>%. Indeks</w:t>
      </w:r>
      <w:r w:rsidR="009B6437" w:rsidRPr="009B6437">
        <w:rPr>
          <w:rFonts w:ascii="Calibri" w:hAnsi="Calibri" w:cs="Calibri"/>
        </w:rPr>
        <w:t xml:space="preserve"> </w:t>
      </w:r>
      <w:r w:rsidR="009B6437">
        <w:rPr>
          <w:rFonts w:ascii="Calibri" w:hAnsi="Calibri" w:cs="Calibri"/>
        </w:rPr>
        <w:t>Zagrebačke berze</w:t>
      </w:r>
      <w:r w:rsidR="00FE156A">
        <w:rPr>
          <w:rFonts w:ascii="Calibri" w:hAnsi="Calibri" w:cs="Calibri"/>
        </w:rPr>
        <w:t xml:space="preserve"> </w:t>
      </w:r>
      <w:r w:rsidR="007F4236">
        <w:rPr>
          <w:rFonts w:ascii="Calibri" w:hAnsi="Calibri" w:cs="Calibri"/>
        </w:rPr>
        <w:t>je ostvario pad od</w:t>
      </w:r>
      <w:r w:rsidR="00FE156A">
        <w:rPr>
          <w:rFonts w:ascii="Calibri" w:hAnsi="Calibri" w:cs="Calibri"/>
        </w:rPr>
        <w:t xml:space="preserve"> </w:t>
      </w:r>
      <w:r w:rsidR="009B6437">
        <w:rPr>
          <w:rFonts w:ascii="Calibri" w:hAnsi="Calibri" w:cs="Calibri"/>
        </w:rPr>
        <w:t>3,23</w:t>
      </w:r>
      <w:r w:rsidR="00FE156A">
        <w:rPr>
          <w:rFonts w:ascii="Calibri" w:hAnsi="Calibri" w:cs="Calibri"/>
        </w:rPr>
        <w:t xml:space="preserve"> %</w:t>
      </w:r>
      <w:r w:rsidR="007F4236">
        <w:rPr>
          <w:rFonts w:ascii="Calibri" w:hAnsi="Calibri" w:cs="Calibri"/>
        </w:rPr>
        <w:t xml:space="preserve"> dok je</w:t>
      </w:r>
      <w:r>
        <w:rPr>
          <w:rFonts w:ascii="Calibri" w:hAnsi="Calibri" w:cs="Calibri"/>
        </w:rPr>
        <w:t xml:space="preserve"> indeks</w:t>
      </w:r>
      <w:r w:rsidR="009B6437" w:rsidRPr="009B6437">
        <w:rPr>
          <w:rFonts w:ascii="Calibri" w:hAnsi="Calibri" w:cs="Calibri"/>
        </w:rPr>
        <w:t xml:space="preserve"> </w:t>
      </w:r>
      <w:r w:rsidR="009B6437">
        <w:rPr>
          <w:rFonts w:ascii="Calibri" w:hAnsi="Calibri" w:cs="Calibri"/>
        </w:rPr>
        <w:t>Ljubljanske berze</w:t>
      </w:r>
      <w:r>
        <w:rPr>
          <w:rFonts w:ascii="Calibri" w:hAnsi="Calibri" w:cs="Calibri"/>
        </w:rPr>
        <w:t xml:space="preserve"> od početka godine ostva</w:t>
      </w:r>
      <w:r w:rsidR="007F4236">
        <w:rPr>
          <w:rFonts w:ascii="Calibri" w:hAnsi="Calibri" w:cs="Calibri"/>
        </w:rPr>
        <w:t xml:space="preserve">rio pad od </w:t>
      </w:r>
      <w:r>
        <w:rPr>
          <w:rFonts w:ascii="Calibri" w:hAnsi="Calibri" w:cs="Calibri"/>
        </w:rPr>
        <w:t xml:space="preserve"> </w:t>
      </w:r>
      <w:r w:rsidR="009B6437">
        <w:rPr>
          <w:rFonts w:ascii="Calibri" w:hAnsi="Calibri" w:cs="Calibri"/>
        </w:rPr>
        <w:t>11</w:t>
      </w:r>
      <w:r w:rsidR="007F4236">
        <w:rPr>
          <w:rFonts w:ascii="Calibri" w:hAnsi="Calibri" w:cs="Calibri"/>
        </w:rPr>
        <w:t>,</w:t>
      </w:r>
      <w:r w:rsidR="009B6437">
        <w:rPr>
          <w:rFonts w:ascii="Calibri" w:hAnsi="Calibri" w:cs="Calibri"/>
        </w:rPr>
        <w:t>15</w:t>
      </w:r>
      <w:r>
        <w:rPr>
          <w:rFonts w:ascii="Calibri" w:hAnsi="Calibri" w:cs="Calibri"/>
        </w:rPr>
        <w:t>%.</w:t>
      </w:r>
    </w:p>
    <w:p w:rsidR="00180725" w:rsidRDefault="00180725" w:rsidP="00180725">
      <w:pPr>
        <w:jc w:val="right"/>
        <w:rPr>
          <w:rFonts w:ascii="Calibri" w:hAnsi="Calibri" w:cs="Calibri"/>
        </w:rPr>
      </w:pPr>
    </w:p>
    <w:p w:rsidR="00D57739" w:rsidRDefault="00D57739" w:rsidP="00645F2D">
      <w:pPr>
        <w:jc w:val="both"/>
        <w:rPr>
          <w:rFonts w:ascii="Calibri" w:hAnsi="Calibri" w:cs="Calibri"/>
        </w:rPr>
      </w:pPr>
    </w:p>
    <w:p w:rsidR="005F2774" w:rsidRDefault="00762AF6" w:rsidP="005F277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u w:val="single"/>
        </w:rPr>
        <w:t xml:space="preserve">Svjetske </w:t>
      </w:r>
      <w:r w:rsidR="005F2774">
        <w:rPr>
          <w:rFonts w:ascii="Calibri" w:hAnsi="Calibri" w:cs="Calibri"/>
          <w:i/>
          <w:u w:val="single"/>
        </w:rPr>
        <w:t xml:space="preserve"> berze</w:t>
      </w:r>
    </w:p>
    <w:p w:rsidR="005F2774" w:rsidRDefault="005F2774" w:rsidP="005F2774">
      <w:pPr>
        <w:jc w:val="both"/>
        <w:rPr>
          <w:rFonts w:ascii="Calibri" w:hAnsi="Calibri" w:cs="Calibri"/>
        </w:rPr>
      </w:pPr>
    </w:p>
    <w:p w:rsidR="005F2774" w:rsidRDefault="005F2774" w:rsidP="005F27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narednoj tabeli prikazane su vrijednosti vodećih </w:t>
      </w:r>
      <w:r w:rsidR="00762AF6">
        <w:rPr>
          <w:rFonts w:ascii="Calibri" w:hAnsi="Calibri" w:cs="Calibri"/>
        </w:rPr>
        <w:t>svjetskih</w:t>
      </w:r>
      <w:r>
        <w:rPr>
          <w:rFonts w:ascii="Calibri" w:hAnsi="Calibri" w:cs="Calibri"/>
        </w:rPr>
        <w:t xml:space="preserve"> berzanskih indeksa, za izvještajni vremenski period.</w:t>
      </w:r>
    </w:p>
    <w:p w:rsidR="005F2774" w:rsidRDefault="005F2774" w:rsidP="005F2774">
      <w:pPr>
        <w:jc w:val="both"/>
        <w:rPr>
          <w:rFonts w:ascii="Calibri" w:hAnsi="Calibri" w:cs="Calibri"/>
        </w:rPr>
      </w:pPr>
    </w:p>
    <w:tbl>
      <w:tblPr>
        <w:tblW w:w="9096" w:type="dxa"/>
        <w:tblLook w:val="04A0" w:firstRow="1" w:lastRow="0" w:firstColumn="1" w:lastColumn="0" w:noHBand="0" w:noVBand="1"/>
      </w:tblPr>
      <w:tblGrid>
        <w:gridCol w:w="1949"/>
        <w:gridCol w:w="1223"/>
        <w:gridCol w:w="1242"/>
        <w:gridCol w:w="1280"/>
        <w:gridCol w:w="1720"/>
        <w:gridCol w:w="1682"/>
      </w:tblGrid>
      <w:tr w:rsidR="00C12303" w:rsidTr="0045650F">
        <w:trPr>
          <w:trHeight w:val="298"/>
        </w:trPr>
        <w:tc>
          <w:tcPr>
            <w:tcW w:w="1949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1223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DAX</w:t>
            </w:r>
          </w:p>
        </w:tc>
        <w:tc>
          <w:tcPr>
            <w:tcW w:w="1242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FTSE 100</w:t>
            </w:r>
          </w:p>
        </w:tc>
        <w:tc>
          <w:tcPr>
            <w:tcW w:w="128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DJIA</w:t>
            </w:r>
          </w:p>
        </w:tc>
        <w:tc>
          <w:tcPr>
            <w:tcW w:w="172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 EURO STOXX50</w:t>
            </w:r>
          </w:p>
        </w:tc>
        <w:tc>
          <w:tcPr>
            <w:tcW w:w="1682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Nasdaq 100</w:t>
            </w:r>
          </w:p>
        </w:tc>
      </w:tr>
      <w:tr w:rsidR="00C12303" w:rsidTr="0045650F">
        <w:trPr>
          <w:trHeight w:val="313"/>
        </w:trPr>
        <w:tc>
          <w:tcPr>
            <w:tcW w:w="1949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2303" w:rsidTr="0045650F">
        <w:trPr>
          <w:trHeight w:val="298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15.884,86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7.384,54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36.338,30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4.306,07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15.644,97</w:t>
            </w:r>
          </w:p>
        </w:tc>
      </w:tr>
      <w:tr w:rsidR="00C12303" w:rsidTr="0045650F">
        <w:trPr>
          <w:trHeight w:val="298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15.471,20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7.464,37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35.131,86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4.174,60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14.239,88</w:t>
            </w:r>
          </w:p>
        </w:tc>
      </w:tr>
      <w:tr w:rsidR="00C12303" w:rsidTr="0045650F">
        <w:trPr>
          <w:trHeight w:val="298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14.461,02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7.458,25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33.892,60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3.924,23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13.751,40</w:t>
            </w:r>
          </w:p>
        </w:tc>
      </w:tr>
      <w:tr w:rsidR="00C12303" w:rsidTr="0045650F">
        <w:trPr>
          <w:trHeight w:val="298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14.414,75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7.515,68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34.678,35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3.902,52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14.220,52</w:t>
            </w:r>
          </w:p>
        </w:tc>
      </w:tr>
      <w:tr w:rsidR="00C12303" w:rsidTr="0045650F">
        <w:trPr>
          <w:trHeight w:val="298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14.097,88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7.544,55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32.977,21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3.802,86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12.334,64</w:t>
            </w:r>
          </w:p>
        </w:tc>
      </w:tr>
      <w:tr w:rsidR="00C12303" w:rsidTr="0045650F">
        <w:trPr>
          <w:trHeight w:val="298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14.388,35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7.607,66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32.990,12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3.789,21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12.081,39</w:t>
            </w:r>
          </w:p>
        </w:tc>
      </w:tr>
      <w:tr w:rsidR="00C12303" w:rsidTr="0045650F">
        <w:trPr>
          <w:trHeight w:val="298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12.783,77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7.169,28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30.775,43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3.454,86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11.028,74</w:t>
            </w:r>
          </w:p>
        </w:tc>
      </w:tr>
      <w:tr w:rsidR="00C12303" w:rsidTr="0045650F">
        <w:trPr>
          <w:trHeight w:val="313"/>
        </w:trPr>
        <w:tc>
          <w:tcPr>
            <w:tcW w:w="1949" w:type="dxa"/>
            <w:tcBorders>
              <w:top w:val="nil"/>
              <w:left w:val="nil"/>
              <w:bottom w:val="single" w:sz="12" w:space="0" w:color="D2EAF1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D2EAF1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-19,52%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D2EAF1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-2,92%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D2EAF1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-15,31%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D2EAF1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-19,77%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12" w:space="0" w:color="D2EAF1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-29,51%</w:t>
            </w:r>
          </w:p>
        </w:tc>
      </w:tr>
    </w:tbl>
    <w:p w:rsidR="007D7F5A" w:rsidRDefault="007D7F5A" w:rsidP="005F2774">
      <w:pPr>
        <w:jc w:val="both"/>
        <w:rPr>
          <w:rFonts w:ascii="Calibri" w:hAnsi="Calibri" w:cs="Calibri"/>
        </w:rPr>
      </w:pPr>
    </w:p>
    <w:p w:rsidR="005F2774" w:rsidRDefault="005F2774" w:rsidP="005F27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posma</w:t>
      </w:r>
      <w:r w:rsidR="001E3A21">
        <w:rPr>
          <w:rFonts w:ascii="Calibri" w:hAnsi="Calibri" w:cs="Calibri"/>
        </w:rPr>
        <w:t xml:space="preserve">tranom vremenskom periodu </w:t>
      </w:r>
      <w:r w:rsidR="005C1A3C">
        <w:rPr>
          <w:rFonts w:ascii="Calibri" w:hAnsi="Calibri" w:cs="Calibri"/>
        </w:rPr>
        <w:t xml:space="preserve">svi </w:t>
      </w:r>
      <w:r w:rsidR="001E3A21">
        <w:rPr>
          <w:rFonts w:ascii="Calibri" w:hAnsi="Calibri" w:cs="Calibri"/>
        </w:rPr>
        <w:t>posmatrani</w:t>
      </w:r>
      <w:r w:rsidR="00FC2B47">
        <w:rPr>
          <w:rFonts w:ascii="Calibri" w:hAnsi="Calibri" w:cs="Calibri"/>
        </w:rPr>
        <w:t xml:space="preserve"> indeks</w:t>
      </w:r>
      <w:r w:rsidR="007F4236">
        <w:rPr>
          <w:rFonts w:ascii="Calibri" w:hAnsi="Calibri" w:cs="Calibri"/>
        </w:rPr>
        <w:t>i su ostvarili pad</w:t>
      </w:r>
      <w:r w:rsidR="00A40048">
        <w:rPr>
          <w:rFonts w:ascii="Calibri" w:hAnsi="Calibri" w:cs="Calibri"/>
        </w:rPr>
        <w:t xml:space="preserve"> vrijednosti</w:t>
      </w:r>
      <w:r w:rsidR="005C1A3C">
        <w:rPr>
          <w:rFonts w:ascii="Calibri" w:hAnsi="Calibri" w:cs="Calibri"/>
        </w:rPr>
        <w:t>,</w:t>
      </w:r>
      <w:r w:rsidR="00F65C91">
        <w:rPr>
          <w:rFonts w:ascii="Calibri" w:hAnsi="Calibri" w:cs="Calibri"/>
        </w:rPr>
        <w:t>Nasdaq 100</w:t>
      </w:r>
      <w:r w:rsidR="00CD1640">
        <w:rPr>
          <w:rFonts w:ascii="Calibri" w:hAnsi="Calibri" w:cs="Calibri"/>
        </w:rPr>
        <w:t xml:space="preserve"> indeks</w:t>
      </w:r>
      <w:r w:rsidR="00F65C91">
        <w:rPr>
          <w:rFonts w:ascii="Calibri" w:hAnsi="Calibri" w:cs="Calibri"/>
        </w:rPr>
        <w:t xml:space="preserve"> je</w:t>
      </w:r>
      <w:r w:rsidR="006D0922">
        <w:rPr>
          <w:rFonts w:ascii="Calibri" w:hAnsi="Calibri" w:cs="Calibri"/>
        </w:rPr>
        <w:t xml:space="preserve"> </w:t>
      </w:r>
      <w:r w:rsidR="005C1A3C">
        <w:rPr>
          <w:rFonts w:ascii="Calibri" w:hAnsi="Calibri" w:cs="Calibri"/>
        </w:rPr>
        <w:t xml:space="preserve">imao najveći </w:t>
      </w:r>
      <w:r w:rsidR="008E5B56">
        <w:rPr>
          <w:rFonts w:ascii="Calibri" w:hAnsi="Calibri" w:cs="Calibri"/>
        </w:rPr>
        <w:t>pad</w:t>
      </w:r>
      <w:r w:rsidR="00D8684A">
        <w:rPr>
          <w:rFonts w:ascii="Calibri" w:hAnsi="Calibri" w:cs="Calibri"/>
        </w:rPr>
        <w:t xml:space="preserve"> od </w:t>
      </w:r>
      <w:r w:rsidR="00F65C91">
        <w:rPr>
          <w:rFonts w:ascii="Calibri" w:hAnsi="Calibri" w:cs="Calibri"/>
        </w:rPr>
        <w:t>2</w:t>
      </w:r>
      <w:r w:rsidR="00A40048">
        <w:rPr>
          <w:rFonts w:ascii="Calibri" w:hAnsi="Calibri" w:cs="Calibri"/>
        </w:rPr>
        <w:t>9</w:t>
      </w:r>
      <w:r w:rsidR="007D7F5A">
        <w:rPr>
          <w:rFonts w:ascii="Calibri" w:hAnsi="Calibri" w:cs="Calibri"/>
        </w:rPr>
        <w:t>,</w:t>
      </w:r>
      <w:r w:rsidR="00F65C91">
        <w:rPr>
          <w:rFonts w:ascii="Calibri" w:hAnsi="Calibri" w:cs="Calibri"/>
        </w:rPr>
        <w:t>51</w:t>
      </w:r>
      <w:r w:rsidR="001E3A21">
        <w:rPr>
          <w:rFonts w:ascii="Calibri" w:hAnsi="Calibri" w:cs="Calibri"/>
        </w:rPr>
        <w:t>%</w:t>
      </w:r>
      <w:r w:rsidR="00FC2B47">
        <w:rPr>
          <w:rFonts w:ascii="Calibri" w:hAnsi="Calibri" w:cs="Calibri"/>
        </w:rPr>
        <w:t xml:space="preserve">, </w:t>
      </w:r>
      <w:r w:rsidR="00D8684A">
        <w:rPr>
          <w:rFonts w:ascii="Calibri" w:hAnsi="Calibri" w:cs="Calibri"/>
        </w:rPr>
        <w:t xml:space="preserve">a </w:t>
      </w:r>
      <w:r w:rsidR="005C1A3C">
        <w:rPr>
          <w:rFonts w:ascii="Calibri" w:hAnsi="Calibri" w:cs="Calibri"/>
        </w:rPr>
        <w:t xml:space="preserve">najmanji </w:t>
      </w:r>
      <w:r w:rsidR="00276CA5">
        <w:rPr>
          <w:rFonts w:ascii="Calibri" w:hAnsi="Calibri" w:cs="Calibri"/>
        </w:rPr>
        <w:t>pad</w:t>
      </w:r>
      <w:r w:rsidR="005C1A3C">
        <w:rPr>
          <w:rFonts w:ascii="Calibri" w:hAnsi="Calibri" w:cs="Calibri"/>
        </w:rPr>
        <w:t xml:space="preserve"> je imao indeks</w:t>
      </w:r>
      <w:r w:rsidR="00276CA5">
        <w:rPr>
          <w:rFonts w:ascii="Calibri" w:hAnsi="Calibri" w:cs="Calibri"/>
        </w:rPr>
        <w:t xml:space="preserve"> </w:t>
      </w:r>
      <w:r w:rsidR="00F65C91">
        <w:rPr>
          <w:rFonts w:ascii="Calibri" w:hAnsi="Calibri" w:cs="Calibri"/>
        </w:rPr>
        <w:t>FTSE100</w:t>
      </w:r>
      <w:r w:rsidR="00276CA5">
        <w:rPr>
          <w:rFonts w:ascii="Calibri" w:hAnsi="Calibri" w:cs="Calibri"/>
        </w:rPr>
        <w:t>, koji je imao pad</w:t>
      </w:r>
      <w:r w:rsidR="007D7F5A">
        <w:rPr>
          <w:rFonts w:ascii="Calibri" w:hAnsi="Calibri" w:cs="Calibri"/>
        </w:rPr>
        <w:t xml:space="preserve"> od</w:t>
      </w:r>
      <w:r w:rsidR="006D0922">
        <w:rPr>
          <w:rFonts w:ascii="Calibri" w:hAnsi="Calibri" w:cs="Calibri"/>
        </w:rPr>
        <w:t xml:space="preserve"> </w:t>
      </w:r>
      <w:r w:rsidR="00F65C91">
        <w:rPr>
          <w:rFonts w:ascii="Calibri" w:hAnsi="Calibri" w:cs="Calibri"/>
        </w:rPr>
        <w:t>2</w:t>
      </w:r>
      <w:r w:rsidR="007D7F5A">
        <w:rPr>
          <w:rFonts w:ascii="Calibri" w:hAnsi="Calibri" w:cs="Calibri"/>
        </w:rPr>
        <w:t>,</w:t>
      </w:r>
      <w:r w:rsidR="00F65C91">
        <w:rPr>
          <w:rFonts w:ascii="Calibri" w:hAnsi="Calibri" w:cs="Calibri"/>
        </w:rPr>
        <w:t>92</w:t>
      </w:r>
      <w:r w:rsidR="005E3249">
        <w:rPr>
          <w:rFonts w:ascii="Calibri" w:hAnsi="Calibri" w:cs="Calibri"/>
        </w:rPr>
        <w:t>%</w:t>
      </w:r>
      <w:r w:rsidR="00FC2B47">
        <w:rPr>
          <w:rFonts w:ascii="Calibri" w:hAnsi="Calibri" w:cs="Calibri"/>
        </w:rPr>
        <w:t>.</w:t>
      </w:r>
    </w:p>
    <w:p w:rsidR="005F2774" w:rsidRDefault="005F2774" w:rsidP="00645F2D">
      <w:pPr>
        <w:jc w:val="both"/>
        <w:rPr>
          <w:rFonts w:ascii="Calibri" w:hAnsi="Calibri" w:cs="Calibri"/>
        </w:rPr>
      </w:pPr>
    </w:p>
    <w:p w:rsidR="005B4953" w:rsidRDefault="005B4953" w:rsidP="00645F2D">
      <w:pPr>
        <w:jc w:val="both"/>
        <w:rPr>
          <w:rFonts w:ascii="Calibri" w:hAnsi="Calibri" w:cs="Calibri"/>
        </w:rPr>
      </w:pPr>
    </w:p>
    <w:p w:rsidR="005B4953" w:rsidRDefault="005B4953" w:rsidP="00645F2D">
      <w:pPr>
        <w:jc w:val="both"/>
        <w:rPr>
          <w:rFonts w:ascii="Calibri" w:hAnsi="Calibri" w:cs="Calibri"/>
        </w:rPr>
      </w:pPr>
    </w:p>
    <w:p w:rsidR="005B4953" w:rsidRDefault="005B4953" w:rsidP="00645F2D">
      <w:pPr>
        <w:jc w:val="both"/>
        <w:rPr>
          <w:rFonts w:ascii="Calibri" w:hAnsi="Calibri" w:cs="Calibri"/>
        </w:rPr>
      </w:pPr>
    </w:p>
    <w:p w:rsidR="005B4953" w:rsidRDefault="005B4953" w:rsidP="00645F2D">
      <w:pPr>
        <w:jc w:val="both"/>
        <w:rPr>
          <w:rFonts w:ascii="Calibri" w:hAnsi="Calibri" w:cs="Calibri"/>
        </w:rPr>
      </w:pPr>
    </w:p>
    <w:p w:rsidR="005B4953" w:rsidRDefault="005B4953" w:rsidP="00645F2D">
      <w:pPr>
        <w:jc w:val="both"/>
        <w:rPr>
          <w:rFonts w:ascii="Calibri" w:hAnsi="Calibri" w:cs="Calibri"/>
        </w:rPr>
      </w:pPr>
    </w:p>
    <w:p w:rsidR="005B4953" w:rsidRPr="007D7F5A" w:rsidRDefault="005B4953" w:rsidP="00645F2D">
      <w:pPr>
        <w:jc w:val="both"/>
        <w:rPr>
          <w:rFonts w:ascii="Calibri" w:hAnsi="Calibri" w:cs="Calibri"/>
        </w:rPr>
      </w:pPr>
    </w:p>
    <w:p w:rsidR="005C1A3C" w:rsidRDefault="005C1A3C" w:rsidP="00645F2D">
      <w:pPr>
        <w:jc w:val="both"/>
        <w:rPr>
          <w:rFonts w:ascii="Calibri" w:hAnsi="Calibri" w:cs="Calibri"/>
        </w:rPr>
      </w:pPr>
    </w:p>
    <w:p w:rsidR="00AA2D3D" w:rsidRPr="006D0922" w:rsidRDefault="00DC67C2" w:rsidP="00445B19">
      <w:pPr>
        <w:numPr>
          <w:ilvl w:val="0"/>
          <w:numId w:val="7"/>
        </w:numPr>
        <w:rPr>
          <w:rFonts w:ascii="Calibri" w:hAnsi="Calibri" w:cs="Calibri"/>
          <w:b/>
        </w:rPr>
      </w:pPr>
      <w:r w:rsidRPr="006D0922">
        <w:rPr>
          <w:rFonts w:ascii="Calibri" w:hAnsi="Calibri" w:cs="Calibri"/>
          <w:b/>
        </w:rPr>
        <w:lastRenderedPageBreak/>
        <w:t>Kupovina i prodaja hartija od vrijednosti</w:t>
      </w:r>
    </w:p>
    <w:p w:rsidR="00445B19" w:rsidRPr="00686446" w:rsidRDefault="00445B19" w:rsidP="00445B19">
      <w:pPr>
        <w:rPr>
          <w:rFonts w:ascii="Calibri" w:hAnsi="Calibri" w:cs="Calibri"/>
          <w:lang w:val="en-US"/>
        </w:rPr>
      </w:pPr>
    </w:p>
    <w:p w:rsidR="005446FF" w:rsidRDefault="005446FF" w:rsidP="005446F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Prateći investicioni cilj Fonda</w:t>
      </w:r>
      <w:r w:rsidR="001F6D3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Društvo je u izvještajnom periodu vršilo restruktuiranja portfelja fonda na način na koji je objašnjen</w:t>
      </w:r>
      <w:r w:rsidR="001F6D3E">
        <w:rPr>
          <w:rFonts w:ascii="Calibri" w:hAnsi="Calibri" w:cs="Calibri"/>
        </w:rPr>
        <w:t xml:space="preserve"> u nastavku</w:t>
      </w:r>
      <w:r>
        <w:rPr>
          <w:rFonts w:ascii="Calibri" w:hAnsi="Calibri" w:cs="Calibri"/>
        </w:rPr>
        <w:t>.</w:t>
      </w:r>
    </w:p>
    <w:p w:rsidR="009B6437" w:rsidRDefault="009B6437" w:rsidP="005446FF">
      <w:pPr>
        <w:jc w:val="both"/>
        <w:rPr>
          <w:rFonts w:ascii="Calibri" w:hAnsi="Calibri" w:cs="Calibri"/>
        </w:rPr>
      </w:pPr>
    </w:p>
    <w:p w:rsidR="00CA0093" w:rsidRDefault="00CA0093" w:rsidP="00D03DA0">
      <w:pPr>
        <w:jc w:val="both"/>
        <w:rPr>
          <w:rFonts w:ascii="Calibri" w:hAnsi="Calibri" w:cs="Calibri"/>
        </w:rPr>
      </w:pPr>
    </w:p>
    <w:p w:rsidR="00CA0093" w:rsidRDefault="00CA0093" w:rsidP="00CA0093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</w:t>
      </w:r>
      <w:r w:rsidRPr="004A5A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Kupovina hov</w:t>
      </w:r>
    </w:p>
    <w:p w:rsidR="00CA0093" w:rsidRDefault="00CA0093" w:rsidP="00CA0093">
      <w:pPr>
        <w:jc w:val="both"/>
        <w:rPr>
          <w:rFonts w:ascii="Calibri" w:hAnsi="Calibri" w:cs="Calibri"/>
        </w:rPr>
      </w:pPr>
    </w:p>
    <w:tbl>
      <w:tblPr>
        <w:tblW w:w="9364" w:type="dxa"/>
        <w:tblInd w:w="93" w:type="dxa"/>
        <w:tblLook w:val="04A0" w:firstRow="1" w:lastRow="0" w:firstColumn="1" w:lastColumn="0" w:noHBand="0" w:noVBand="1"/>
      </w:tblPr>
      <w:tblGrid>
        <w:gridCol w:w="5465"/>
        <w:gridCol w:w="1849"/>
        <w:gridCol w:w="2050"/>
      </w:tblGrid>
      <w:tr w:rsidR="00C80A19" w:rsidTr="0045650F">
        <w:trPr>
          <w:trHeight w:val="508"/>
        </w:trPr>
        <w:tc>
          <w:tcPr>
            <w:tcW w:w="546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Naziv emitenta</w:t>
            </w:r>
          </w:p>
        </w:tc>
        <w:tc>
          <w:tcPr>
            <w:tcW w:w="184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 kupljenih HOV</w:t>
            </w:r>
          </w:p>
        </w:tc>
        <w:tc>
          <w:tcPr>
            <w:tcW w:w="205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Vrijednost</w:t>
            </w:r>
          </w:p>
        </w:tc>
      </w:tr>
      <w:tr w:rsidR="00C80A19" w:rsidTr="0045650F">
        <w:trPr>
          <w:trHeight w:val="268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276CA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276CA5">
              <w:rPr>
                <w:rFonts w:ascii="Calibri" w:hAnsi="Calibri"/>
                <w:color w:val="000000"/>
                <w:sz w:val="22"/>
                <w:szCs w:val="22"/>
              </w:rPr>
              <w:t>Fresenius SE &amp; Co. KGaA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67CC2" w:rsidP="00A67C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4471A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  <w:r w:rsidR="004471A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67CC2" w:rsidP="00A67C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  <w:r w:rsidR="004471A7" w:rsidRPr="004471A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970</w:t>
            </w:r>
            <w:r w:rsidR="00A911A5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  <w:r w:rsidR="004471A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</w:p>
        </w:tc>
      </w:tr>
      <w:tr w:rsidR="004471A7" w:rsidTr="0045650F">
        <w:trPr>
          <w:trHeight w:val="307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4471A7" w:rsidRDefault="00A911A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Citigroup Inc. New York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C12303" w:rsidRDefault="00C12303" w:rsidP="009B643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 w:rsidR="004471A7" w:rsidRPr="004471A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4471A7" w:rsidRDefault="009B6437" w:rsidP="009B64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1.277.577,56 KM                                   </w:t>
            </w:r>
          </w:p>
        </w:tc>
      </w:tr>
      <w:tr w:rsidR="00C80A19" w:rsidTr="0045650F">
        <w:trPr>
          <w:trHeight w:val="268"/>
        </w:trPr>
        <w:tc>
          <w:tcPr>
            <w:tcW w:w="54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67CC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Bristol-Myers Squibb Company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67CC2" w:rsidP="00A67C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A568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A911A5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67CC2" w:rsidP="00A67C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  <w:r w:rsidR="00FA568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  <w:r w:rsidR="00FA568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872107" w:rsidTr="0045650F">
        <w:trPr>
          <w:trHeight w:val="268"/>
        </w:trPr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276CA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Atmos Energy Corporation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C078BD" w:rsidP="00276C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D729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C078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543.568,62</w:t>
            </w:r>
            <w:r w:rsidR="00AD7299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C80A19" w:rsidTr="0045650F">
        <w:trPr>
          <w:trHeight w:val="268"/>
        </w:trPr>
        <w:tc>
          <w:tcPr>
            <w:tcW w:w="5465" w:type="dxa"/>
            <w:tcBorders>
              <w:top w:val="nil"/>
              <w:left w:val="nil"/>
              <w:bottom w:val="single" w:sz="12" w:space="0" w:color="4BACC6" w:themeColor="accent5"/>
              <w:right w:val="nil"/>
            </w:tcBorders>
            <w:shd w:val="clear" w:color="auto" w:fill="auto"/>
            <w:vAlign w:val="center"/>
            <w:hideMark/>
          </w:tcPr>
          <w:p w:rsidR="00C80A19" w:rsidRPr="00276CA5" w:rsidRDefault="00C80A19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76C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2" w:space="0" w:color="4BACC6" w:themeColor="accent5"/>
              <w:right w:val="nil"/>
            </w:tcBorders>
            <w:shd w:val="clear" w:color="auto" w:fill="auto"/>
            <w:vAlign w:val="center"/>
            <w:hideMark/>
          </w:tcPr>
          <w:p w:rsidR="00C80A19" w:rsidRPr="00276CA5" w:rsidRDefault="00C80A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12" w:space="0" w:color="4BACC6" w:themeColor="accent5"/>
              <w:right w:val="nil"/>
            </w:tcBorders>
            <w:shd w:val="clear" w:color="auto" w:fill="auto"/>
            <w:vAlign w:val="center"/>
            <w:hideMark/>
          </w:tcPr>
          <w:p w:rsidR="00C80A19" w:rsidRPr="00276CA5" w:rsidRDefault="00C078BD" w:rsidP="00C078B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2.132</w:t>
            </w:r>
            <w:r w:rsidR="00A52BAE" w:rsidRPr="00276C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257</w:t>
            </w:r>
            <w:r w:rsidR="00A52BAE" w:rsidRPr="00276C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</w:t>
            </w:r>
            <w:r w:rsidR="006D0922" w:rsidRPr="00276C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80A19" w:rsidRPr="00276C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KM</w:t>
            </w:r>
          </w:p>
        </w:tc>
      </w:tr>
    </w:tbl>
    <w:p w:rsidR="00A67CC2" w:rsidRDefault="00A67CC2" w:rsidP="007B62FC">
      <w:pPr>
        <w:jc w:val="both"/>
        <w:rPr>
          <w:rFonts w:ascii="Calibri" w:hAnsi="Calibri" w:cs="Calibri"/>
        </w:rPr>
      </w:pPr>
    </w:p>
    <w:p w:rsidR="006D0922" w:rsidRDefault="00A67CC2" w:rsidP="007B62F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Kao što se može vidjeti iz prethodne tabele u</w:t>
      </w:r>
      <w:r w:rsidR="00FA568F">
        <w:rPr>
          <w:rFonts w:ascii="Calibri" w:hAnsi="Calibri" w:cs="Calibri"/>
        </w:rPr>
        <w:t>laganja</w:t>
      </w:r>
      <w:r w:rsidR="007B62FC">
        <w:rPr>
          <w:rFonts w:ascii="Calibri" w:hAnsi="Calibri" w:cs="Calibri"/>
        </w:rPr>
        <w:t xml:space="preserve"> su vršena isključivo u</w:t>
      </w:r>
      <w:r w:rsidR="00A40048">
        <w:rPr>
          <w:rFonts w:ascii="Calibri" w:hAnsi="Calibri" w:cs="Calibri"/>
        </w:rPr>
        <w:t xml:space="preserve"> akcije emitenata sa inostranih tržišta</w:t>
      </w:r>
      <w:r w:rsidR="009B6437">
        <w:rPr>
          <w:rFonts w:ascii="Calibri" w:hAnsi="Calibri" w:cs="Calibri"/>
        </w:rPr>
        <w:t>,uglavnom na NYSE gdje je uz pad cijena akcija karakterisao i snažan rast dolara u odnosu na euro.</w:t>
      </w:r>
    </w:p>
    <w:p w:rsidR="00AF5FA2" w:rsidRDefault="006D0922" w:rsidP="00D03D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Ukupn</w:t>
      </w:r>
      <w:r w:rsidR="00A67CC2">
        <w:rPr>
          <w:rFonts w:ascii="Calibri" w:hAnsi="Calibri" w:cs="Calibri"/>
        </w:rPr>
        <w:t xml:space="preserve">a ulaganja u prvom </w:t>
      </w:r>
      <w:r w:rsidR="009B6437" w:rsidRPr="009B6437">
        <w:rPr>
          <w:rFonts w:ascii="Calibri" w:hAnsi="Calibri" w:cs="Calibri"/>
        </w:rPr>
        <w:t>polugodištu</w:t>
      </w:r>
      <w:r w:rsidR="00A67CC2">
        <w:rPr>
          <w:rFonts w:ascii="Calibri" w:hAnsi="Calibri" w:cs="Calibri"/>
        </w:rPr>
        <w:t xml:space="preserve"> 2022</w:t>
      </w:r>
      <w:r>
        <w:rPr>
          <w:rFonts w:ascii="Calibri" w:hAnsi="Calibri" w:cs="Calibri"/>
        </w:rPr>
        <w:t>.godine</w:t>
      </w:r>
      <w:r w:rsidR="007B62FC">
        <w:rPr>
          <w:rFonts w:ascii="Calibri" w:hAnsi="Calibri" w:cs="Calibri"/>
        </w:rPr>
        <w:t xml:space="preserve"> iznosila su </w:t>
      </w:r>
      <w:r w:rsidR="0045650F" w:rsidRPr="0045650F">
        <w:rPr>
          <w:rFonts w:ascii="Calibri" w:hAnsi="Calibri"/>
          <w:bCs/>
          <w:color w:val="000000"/>
          <w:sz w:val="22"/>
          <w:szCs w:val="22"/>
        </w:rPr>
        <w:t xml:space="preserve">2.132.257,97 </w:t>
      </w:r>
      <w:r w:rsidRPr="006D0922">
        <w:rPr>
          <w:rFonts w:ascii="Calibri" w:hAnsi="Calibri"/>
          <w:bCs/>
          <w:color w:val="000000"/>
          <w:sz w:val="22"/>
          <w:szCs w:val="22"/>
        </w:rPr>
        <w:t>KM</w:t>
      </w:r>
      <w:r w:rsidR="007B62FC">
        <w:rPr>
          <w:rFonts w:ascii="Calibri" w:hAnsi="Calibri" w:cs="Calibri"/>
        </w:rPr>
        <w:t xml:space="preserve">. </w:t>
      </w:r>
    </w:p>
    <w:p w:rsidR="00A67CC2" w:rsidRDefault="00A67CC2" w:rsidP="00D03DA0">
      <w:pPr>
        <w:jc w:val="both"/>
        <w:rPr>
          <w:rFonts w:ascii="Calibri" w:hAnsi="Calibri" w:cs="Calibri"/>
        </w:rPr>
      </w:pPr>
    </w:p>
    <w:p w:rsidR="007E20C7" w:rsidRPr="004A5A09" w:rsidRDefault="007E20C7" w:rsidP="007E20C7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CA0093">
        <w:rPr>
          <w:rFonts w:ascii="Calibri" w:hAnsi="Calibri" w:cs="Calibri"/>
        </w:rPr>
        <w:t>2</w:t>
      </w:r>
      <w:r w:rsidRPr="004A5A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Prodaja hov</w:t>
      </w:r>
    </w:p>
    <w:p w:rsidR="007E20C7" w:rsidRDefault="007E20C7" w:rsidP="00D03DA0">
      <w:pPr>
        <w:jc w:val="both"/>
        <w:rPr>
          <w:rFonts w:ascii="Calibri" w:hAnsi="Calibri" w:cs="Calibri"/>
        </w:rPr>
      </w:pPr>
    </w:p>
    <w:tbl>
      <w:tblPr>
        <w:tblW w:w="9088" w:type="dxa"/>
        <w:tblInd w:w="93" w:type="dxa"/>
        <w:tblLook w:val="04A0" w:firstRow="1" w:lastRow="0" w:firstColumn="1" w:lastColumn="0" w:noHBand="0" w:noVBand="1"/>
      </w:tblPr>
      <w:tblGrid>
        <w:gridCol w:w="5439"/>
        <w:gridCol w:w="1928"/>
        <w:gridCol w:w="1721"/>
      </w:tblGrid>
      <w:tr w:rsidR="00C80A19" w:rsidTr="0045650F">
        <w:trPr>
          <w:trHeight w:val="351"/>
        </w:trPr>
        <w:tc>
          <w:tcPr>
            <w:tcW w:w="543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emitenta</w:t>
            </w:r>
          </w:p>
        </w:tc>
        <w:tc>
          <w:tcPr>
            <w:tcW w:w="192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prodanih HOV</w:t>
            </w:r>
          </w:p>
        </w:tc>
        <w:tc>
          <w:tcPr>
            <w:tcW w:w="172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Vrijednost</w:t>
            </w:r>
          </w:p>
        </w:tc>
      </w:tr>
      <w:tr w:rsidR="00C12303" w:rsidTr="0045650F">
        <w:trPr>
          <w:trHeight w:val="274"/>
        </w:trPr>
        <w:tc>
          <w:tcPr>
            <w:tcW w:w="54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12303" w:rsidRDefault="00C1230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303">
              <w:rPr>
                <w:rFonts w:ascii="Calibri" w:hAnsi="Calibri"/>
                <w:color w:val="000000"/>
                <w:sz w:val="22"/>
                <w:szCs w:val="22"/>
              </w:rPr>
              <w:t>Proprius d.d. zatvoreni AIF s javnom ponudom za ulaganje u nekretnine u likvidaciji</w:t>
            </w: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12303" w:rsidRDefault="00C12303" w:rsidP="00A67C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23.157</w:t>
            </w: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12303" w:rsidRDefault="00C12303" w:rsidP="00C123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60.199,58 KM</w:t>
            </w:r>
          </w:p>
        </w:tc>
      </w:tr>
      <w:tr w:rsidR="00C80A19" w:rsidTr="0045650F">
        <w:trPr>
          <w:trHeight w:val="274"/>
        </w:trPr>
        <w:tc>
          <w:tcPr>
            <w:tcW w:w="5439" w:type="dxa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C80A19" w:rsidRDefault="00A67CC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BH Telecom d.d. Sarajevo</w:t>
            </w: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C80A19" w:rsidRDefault="00C12303" w:rsidP="00A67CC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59.300</w:t>
            </w: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C80A19" w:rsidRDefault="00C12303" w:rsidP="00C123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</w:t>
            </w:r>
            <w:r w:rsidR="00A67CC2" w:rsidRPr="00A67CC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399,</w:t>
            </w:r>
            <w:r w:rsidR="00A67CC2" w:rsidRPr="00A67CC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A67CC2" w:rsidRPr="00A67CC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</w:p>
        </w:tc>
      </w:tr>
      <w:tr w:rsidR="00C80A19" w:rsidTr="0045650F">
        <w:trPr>
          <w:trHeight w:val="286"/>
        </w:trPr>
        <w:tc>
          <w:tcPr>
            <w:tcW w:w="543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80A19" w:rsidRDefault="00C80A19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80A19" w:rsidRDefault="00C80A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80A19" w:rsidRDefault="00C12303" w:rsidP="00C123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788</w:t>
            </w:r>
            <w:r w:rsidR="00A52BAE" w:rsidRPr="00A52BAE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59</w:t>
            </w:r>
            <w:r w:rsidR="00A67CC2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="00A52BAE" w:rsidRPr="00A52BAE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62</w:t>
            </w:r>
            <w:r w:rsidR="00CA6B1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KM</w:t>
            </w:r>
          </w:p>
        </w:tc>
      </w:tr>
    </w:tbl>
    <w:p w:rsidR="007E20C7" w:rsidRDefault="007E20C7" w:rsidP="00D03DA0">
      <w:pPr>
        <w:jc w:val="both"/>
        <w:rPr>
          <w:rFonts w:ascii="Calibri" w:hAnsi="Calibri" w:cs="Calibri"/>
        </w:rPr>
      </w:pPr>
    </w:p>
    <w:p w:rsidR="00A11E2D" w:rsidRDefault="001F3F6F" w:rsidP="00CA6B13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U posmatranom </w:t>
      </w:r>
      <w:r w:rsidRPr="001F3F6F">
        <w:rPr>
          <w:rFonts w:asciiTheme="minorHAnsi" w:hAnsiTheme="minorHAnsi" w:cs="Calibri"/>
        </w:rPr>
        <w:t>izvještaj</w:t>
      </w:r>
      <w:r w:rsidR="00A67CC2">
        <w:rPr>
          <w:rFonts w:asciiTheme="minorHAnsi" w:hAnsiTheme="minorHAnsi" w:cs="Calibri"/>
        </w:rPr>
        <w:t xml:space="preserve">nom periodu </w:t>
      </w:r>
      <w:r w:rsidR="0045650F">
        <w:rPr>
          <w:rFonts w:asciiTheme="minorHAnsi" w:hAnsiTheme="minorHAnsi" w:cs="Calibri"/>
        </w:rPr>
        <w:t>prodato je kompletno</w:t>
      </w:r>
      <w:r w:rsidRPr="001F3F6F">
        <w:rPr>
          <w:rFonts w:asciiTheme="minorHAnsi" w:hAnsiTheme="minorHAnsi" w:cs="Calibri"/>
        </w:rPr>
        <w:t xml:space="preserve"> učešće</w:t>
      </w:r>
      <w:r w:rsidR="00A67CC2">
        <w:rPr>
          <w:rFonts w:asciiTheme="minorHAnsi" w:hAnsiTheme="minorHAnsi" w:cs="Calibri"/>
        </w:rPr>
        <w:t xml:space="preserve"> u</w:t>
      </w:r>
      <w:r w:rsidRPr="001F3F6F">
        <w:rPr>
          <w:rFonts w:asciiTheme="minorHAnsi" w:hAnsiTheme="minorHAnsi" w:cs="Calibri"/>
        </w:rPr>
        <w:t xml:space="preserve"> emitent</w:t>
      </w:r>
      <w:r w:rsidR="00A67CC2">
        <w:rPr>
          <w:rFonts w:asciiTheme="minorHAnsi" w:hAnsiTheme="minorHAnsi" w:cs="Calibri"/>
        </w:rPr>
        <w:t>u</w:t>
      </w:r>
      <w:r w:rsidRPr="001F3F6F">
        <w:t xml:space="preserve"> </w:t>
      </w:r>
      <w:r w:rsidR="00A67CC2" w:rsidRPr="00A67CC2">
        <w:rPr>
          <w:rFonts w:asciiTheme="minorHAnsi" w:hAnsiTheme="minorHAnsi" w:cs="Calibri"/>
        </w:rPr>
        <w:t>BH Telecom d.d. Sarajevo</w:t>
      </w:r>
      <w:r w:rsidR="0045650F">
        <w:rPr>
          <w:rFonts w:asciiTheme="minorHAnsi" w:hAnsiTheme="minorHAnsi" w:cs="Calibri"/>
        </w:rPr>
        <w:t xml:space="preserve"> i </w:t>
      </w:r>
      <w:r w:rsidR="0045650F" w:rsidRPr="0045650F">
        <w:rPr>
          <w:rFonts w:asciiTheme="minorHAnsi" w:hAnsiTheme="minorHAnsi" w:cs="Calibri"/>
        </w:rPr>
        <w:t>Proprius d.d. zatvoreni AIF s javnom ponudom za ulaganje u nekretnine u likvidaciji</w:t>
      </w:r>
      <w:r w:rsidR="0045650F">
        <w:rPr>
          <w:rFonts w:asciiTheme="minorHAnsi" w:hAnsiTheme="minorHAnsi" w:cs="Calibri"/>
        </w:rPr>
        <w:t xml:space="preserve"> sa Zagrebačke berze</w:t>
      </w:r>
      <w:r>
        <w:rPr>
          <w:rFonts w:asciiTheme="minorHAnsi" w:hAnsiTheme="minorHAnsi" w:cs="Calibri"/>
        </w:rPr>
        <w:t>,</w:t>
      </w:r>
      <w:r w:rsidR="00A67CC2">
        <w:rPr>
          <w:rFonts w:asciiTheme="minorHAnsi" w:hAnsiTheme="minorHAnsi" w:cs="Calibri"/>
        </w:rPr>
        <w:t xml:space="preserve"> dok drugih prodaja nije bilo iako su u sistemu trgovanja svaki dan bio unesen niz prodajnih naloga</w:t>
      </w:r>
      <w:r>
        <w:rPr>
          <w:rFonts w:asciiTheme="minorHAnsi" w:hAnsiTheme="minorHAnsi" w:cs="Calibri"/>
        </w:rPr>
        <w:t>.</w:t>
      </w:r>
      <w:r w:rsidRPr="001F3F6F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Sve prodajne odluke su donesene na osno</w:t>
      </w:r>
      <w:r w:rsidR="007E4382">
        <w:rPr>
          <w:rFonts w:asciiTheme="minorHAnsi" w:hAnsiTheme="minorHAnsi" w:cs="Calibri"/>
        </w:rPr>
        <w:t>vu rasta cijena akcija na tržišt</w:t>
      </w:r>
      <w:r>
        <w:rPr>
          <w:rFonts w:asciiTheme="minorHAnsi" w:hAnsiTheme="minorHAnsi" w:cs="Calibri"/>
        </w:rPr>
        <w:t>u i realizacije kapitalnih dobitaka</w:t>
      </w:r>
      <w:r w:rsidR="00BB20A9">
        <w:rPr>
          <w:rFonts w:asciiTheme="minorHAnsi" w:hAnsiTheme="minorHAnsi" w:cs="Calibri"/>
        </w:rPr>
        <w:t xml:space="preserve"> ili gdje ne postoji interes za dalje čuvanje hartija od vrijednosti od emitenata kod koji se ne očekuje nikakav prinos u budućnosti po osnovu posjedovanja istih. </w:t>
      </w:r>
      <w:r>
        <w:rPr>
          <w:rFonts w:asciiTheme="minorHAnsi" w:hAnsiTheme="minorHAnsi" w:cs="Calibri"/>
        </w:rPr>
        <w:t xml:space="preserve">Po </w:t>
      </w:r>
      <w:r w:rsidRPr="001F3F6F">
        <w:rPr>
          <w:rFonts w:asciiTheme="minorHAnsi" w:hAnsiTheme="minorHAnsi" w:cs="Calibri"/>
        </w:rPr>
        <w:t xml:space="preserve">osnovu </w:t>
      </w:r>
      <w:r w:rsidR="00BB20A9">
        <w:rPr>
          <w:rFonts w:asciiTheme="minorHAnsi" w:hAnsiTheme="minorHAnsi" w:cs="Calibri"/>
        </w:rPr>
        <w:t>navedene prodaje</w:t>
      </w:r>
      <w:r>
        <w:rPr>
          <w:rFonts w:asciiTheme="minorHAnsi" w:hAnsiTheme="minorHAnsi" w:cs="Calibri"/>
        </w:rPr>
        <w:t xml:space="preserve"> u posmatranom periodu </w:t>
      </w:r>
      <w:r w:rsidRPr="001F3F6F">
        <w:rPr>
          <w:rFonts w:asciiTheme="minorHAnsi" w:hAnsiTheme="minorHAnsi" w:cs="Calibri"/>
        </w:rPr>
        <w:t xml:space="preserve">prihodovano </w:t>
      </w:r>
      <w:r w:rsidR="0045650F">
        <w:rPr>
          <w:rFonts w:asciiTheme="minorHAnsi" w:hAnsiTheme="minorHAnsi" w:cs="Calibri"/>
        </w:rPr>
        <w:t>je ukupno 788</w:t>
      </w:r>
      <w:r w:rsidRPr="001F3F6F">
        <w:rPr>
          <w:rFonts w:asciiTheme="minorHAnsi" w:hAnsiTheme="minorHAnsi" w:cs="Calibri"/>
        </w:rPr>
        <w:t>.</w:t>
      </w:r>
      <w:r w:rsidR="0045650F">
        <w:rPr>
          <w:rFonts w:asciiTheme="minorHAnsi" w:hAnsiTheme="minorHAnsi" w:cs="Calibri"/>
        </w:rPr>
        <w:t>59</w:t>
      </w:r>
      <w:r w:rsidR="00BB20A9">
        <w:rPr>
          <w:rFonts w:asciiTheme="minorHAnsi" w:hAnsiTheme="minorHAnsi" w:cs="Calibri"/>
        </w:rPr>
        <w:t>8</w:t>
      </w:r>
      <w:r w:rsidR="0045650F">
        <w:rPr>
          <w:rFonts w:asciiTheme="minorHAnsi" w:hAnsiTheme="minorHAnsi" w:cs="Calibri"/>
        </w:rPr>
        <w:t>,62</w:t>
      </w:r>
      <w:r w:rsidRPr="001F3F6F">
        <w:rPr>
          <w:rFonts w:asciiTheme="minorHAnsi" w:hAnsiTheme="minorHAnsi" w:cs="Calibri"/>
        </w:rPr>
        <w:t xml:space="preserve"> KM</w:t>
      </w:r>
      <w:r w:rsidR="005B4953">
        <w:rPr>
          <w:rFonts w:asciiTheme="minorHAnsi" w:hAnsiTheme="minorHAnsi" w:cs="Calibri"/>
        </w:rPr>
        <w:t>.</w:t>
      </w:r>
    </w:p>
    <w:p w:rsidR="005B4953" w:rsidRDefault="005B4953" w:rsidP="00CA6B13">
      <w:pPr>
        <w:jc w:val="both"/>
        <w:rPr>
          <w:rFonts w:asciiTheme="minorHAnsi" w:hAnsiTheme="minorHAnsi" w:cs="Calibri"/>
        </w:rPr>
      </w:pPr>
    </w:p>
    <w:p w:rsidR="005B4953" w:rsidRDefault="005B4953" w:rsidP="00CA6B13">
      <w:pPr>
        <w:jc w:val="both"/>
        <w:rPr>
          <w:rFonts w:asciiTheme="minorHAnsi" w:hAnsiTheme="minorHAnsi" w:cs="Calibri"/>
        </w:rPr>
      </w:pPr>
    </w:p>
    <w:p w:rsidR="005B4953" w:rsidRDefault="005B4953" w:rsidP="00CA6B13">
      <w:pPr>
        <w:jc w:val="both"/>
        <w:rPr>
          <w:rFonts w:asciiTheme="minorHAnsi" w:hAnsiTheme="minorHAnsi" w:cs="Calibri"/>
        </w:rPr>
      </w:pPr>
    </w:p>
    <w:p w:rsidR="005B4953" w:rsidRDefault="005B4953" w:rsidP="00CA6B13">
      <w:pPr>
        <w:jc w:val="both"/>
        <w:rPr>
          <w:rFonts w:asciiTheme="minorHAnsi" w:hAnsiTheme="minorHAnsi" w:cs="Calibri"/>
        </w:rPr>
      </w:pPr>
    </w:p>
    <w:p w:rsidR="005B4953" w:rsidRDefault="005B4953" w:rsidP="00CA6B13">
      <w:pPr>
        <w:jc w:val="both"/>
        <w:rPr>
          <w:rFonts w:asciiTheme="minorHAnsi" w:hAnsiTheme="minorHAnsi" w:cs="Calibri"/>
        </w:rPr>
      </w:pPr>
    </w:p>
    <w:p w:rsidR="005B4953" w:rsidRDefault="005B4953" w:rsidP="00CA6B13">
      <w:pPr>
        <w:jc w:val="both"/>
        <w:rPr>
          <w:rFonts w:asciiTheme="minorHAnsi" w:hAnsiTheme="minorHAnsi" w:cs="Calibri"/>
        </w:rPr>
      </w:pPr>
    </w:p>
    <w:p w:rsidR="005B4953" w:rsidRDefault="005B4953" w:rsidP="00CA6B13">
      <w:pPr>
        <w:jc w:val="both"/>
        <w:rPr>
          <w:rFonts w:asciiTheme="minorHAnsi" w:hAnsiTheme="minorHAnsi" w:cs="Calibri"/>
        </w:rPr>
      </w:pPr>
    </w:p>
    <w:p w:rsidR="005B4953" w:rsidRDefault="005B4953" w:rsidP="00CA6B13">
      <w:pPr>
        <w:jc w:val="both"/>
        <w:rPr>
          <w:rFonts w:asciiTheme="minorHAnsi" w:hAnsiTheme="minorHAnsi" w:cs="Calibri"/>
        </w:rPr>
      </w:pPr>
    </w:p>
    <w:p w:rsidR="005B4953" w:rsidRDefault="005B4953" w:rsidP="00CA6B13">
      <w:pPr>
        <w:jc w:val="both"/>
        <w:rPr>
          <w:rFonts w:ascii="Calibri" w:hAnsi="Calibri" w:cs="Calibri"/>
        </w:rPr>
      </w:pPr>
    </w:p>
    <w:p w:rsidR="00CE1927" w:rsidRPr="00AE32AD" w:rsidRDefault="00CE1927" w:rsidP="00D03DA0">
      <w:pPr>
        <w:jc w:val="both"/>
        <w:rPr>
          <w:rFonts w:ascii="Calibri" w:hAnsi="Calibri" w:cs="Calibri"/>
          <w:i/>
        </w:rPr>
      </w:pPr>
    </w:p>
    <w:p w:rsidR="00D5368A" w:rsidRPr="00D5368A" w:rsidRDefault="00D5368A" w:rsidP="00D5368A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D5368A">
        <w:rPr>
          <w:rFonts w:ascii="Calibri" w:hAnsi="Calibri" w:cs="Calibri"/>
          <w:b/>
        </w:rPr>
        <w:lastRenderedPageBreak/>
        <w:t xml:space="preserve">Kretanje vrijednosti neto </w:t>
      </w:r>
      <w:r>
        <w:rPr>
          <w:rFonts w:ascii="Calibri" w:hAnsi="Calibri" w:cs="Calibri"/>
          <w:b/>
        </w:rPr>
        <w:t>imovine</w:t>
      </w:r>
    </w:p>
    <w:p w:rsidR="00F9026C" w:rsidRPr="00686446" w:rsidRDefault="00F9026C" w:rsidP="00AF7176">
      <w:pPr>
        <w:jc w:val="both"/>
        <w:rPr>
          <w:rFonts w:ascii="Calibri" w:hAnsi="Calibri" w:cs="Calibri"/>
          <w:lang w:val="en-US"/>
        </w:rPr>
      </w:pPr>
    </w:p>
    <w:p w:rsidR="00487003" w:rsidRDefault="00985192" w:rsidP="00985192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Kretanje vrijednosti neto imovine Fonda i vrijednosti udjela u </w:t>
      </w:r>
      <w:r w:rsidR="00BA26AA">
        <w:rPr>
          <w:rFonts w:ascii="Calibri" w:hAnsi="Calibri" w:cs="Calibri"/>
          <w:lang w:val="en-US"/>
        </w:rPr>
        <w:t>izvještajnom periodu</w:t>
      </w:r>
      <w:r>
        <w:rPr>
          <w:rFonts w:ascii="Calibri" w:hAnsi="Calibri" w:cs="Calibri"/>
          <w:lang w:val="en-US"/>
        </w:rPr>
        <w:t>:</w:t>
      </w:r>
    </w:p>
    <w:p w:rsidR="00E3031B" w:rsidRPr="00930DFE" w:rsidRDefault="00E3031B" w:rsidP="00930DFE">
      <w:pPr>
        <w:jc w:val="center"/>
        <w:rPr>
          <w:noProof/>
          <w:lang w:val="en-US"/>
        </w:rPr>
      </w:pPr>
    </w:p>
    <w:tbl>
      <w:tblPr>
        <w:tblW w:w="8910" w:type="dxa"/>
        <w:tblLook w:val="04A0" w:firstRow="1" w:lastRow="0" w:firstColumn="1" w:lastColumn="0" w:noHBand="0" w:noVBand="1"/>
      </w:tblPr>
      <w:tblGrid>
        <w:gridCol w:w="3920"/>
        <w:gridCol w:w="2970"/>
        <w:gridCol w:w="2020"/>
      </w:tblGrid>
      <w:tr w:rsidR="00C12303" w:rsidTr="0045650F">
        <w:trPr>
          <w:trHeight w:val="314"/>
        </w:trPr>
        <w:tc>
          <w:tcPr>
            <w:tcW w:w="392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97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Neto vrijednost imovine</w:t>
            </w:r>
          </w:p>
        </w:tc>
        <w:tc>
          <w:tcPr>
            <w:tcW w:w="202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NVI po udjelu</w:t>
            </w:r>
          </w:p>
        </w:tc>
      </w:tr>
      <w:tr w:rsidR="00C12303" w:rsidTr="0045650F">
        <w:trPr>
          <w:trHeight w:val="29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59.530.131,19 KM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14,2556 KM</w:t>
            </w:r>
          </w:p>
        </w:tc>
      </w:tr>
      <w:tr w:rsidR="00C12303" w:rsidTr="0045650F">
        <w:trPr>
          <w:trHeight w:val="314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31.01.2022.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62.715.956,60 KM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15,0245 KM</w:t>
            </w:r>
          </w:p>
        </w:tc>
      </w:tr>
      <w:tr w:rsidR="00C12303" w:rsidTr="0045650F">
        <w:trPr>
          <w:trHeight w:val="29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28.02.2022.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63.996.692,09 KM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15,3536 KM</w:t>
            </w:r>
          </w:p>
        </w:tc>
      </w:tr>
      <w:tr w:rsidR="00C12303" w:rsidTr="0045650F">
        <w:trPr>
          <w:trHeight w:val="29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31.03.2022.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61.601.949,22 KM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14,8160 KM</w:t>
            </w:r>
          </w:p>
        </w:tc>
      </w:tr>
      <w:tr w:rsidR="00C12303" w:rsidTr="0045650F">
        <w:trPr>
          <w:trHeight w:val="29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C12303" w:rsidRDefault="00990B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30.04.2022</w:t>
            </w:r>
            <w:r w:rsidR="00C1230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60.307.761,27 KM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15,0241 KM</w:t>
            </w:r>
          </w:p>
        </w:tc>
      </w:tr>
      <w:tr w:rsidR="00C12303" w:rsidTr="0045650F">
        <w:trPr>
          <w:trHeight w:val="29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303" w:rsidRDefault="00990B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31.05.2022</w:t>
            </w:r>
            <w:r w:rsidR="00C1230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60.604.128,05 KM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15,1136 KM</w:t>
            </w:r>
          </w:p>
        </w:tc>
      </w:tr>
      <w:tr w:rsidR="00C12303" w:rsidTr="0045650F">
        <w:trPr>
          <w:trHeight w:val="29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C12303" w:rsidRDefault="00990B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30.06.2022</w:t>
            </w:r>
            <w:r w:rsidR="00C1230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55.795.051,43 KM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14,8057 KM</w:t>
            </w:r>
          </w:p>
        </w:tc>
      </w:tr>
      <w:tr w:rsidR="00C12303" w:rsidTr="0045650F">
        <w:trPr>
          <w:trHeight w:val="314"/>
        </w:trPr>
        <w:tc>
          <w:tcPr>
            <w:tcW w:w="392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-6,27%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3,86%</w:t>
            </w:r>
          </w:p>
        </w:tc>
      </w:tr>
    </w:tbl>
    <w:p w:rsidR="008F6DA5" w:rsidRDefault="005B6F3D" w:rsidP="00301296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textWrapping" w:clear="all"/>
      </w:r>
      <w:r w:rsidR="00094D34">
        <w:rPr>
          <w:rFonts w:ascii="Calibri" w:hAnsi="Calibri" w:cs="Calibri"/>
          <w:lang w:val="en-US"/>
        </w:rPr>
        <w:t xml:space="preserve">Neto vrijednost imovine Fonda </w:t>
      </w:r>
      <w:r w:rsidR="00E1634A">
        <w:rPr>
          <w:rFonts w:ascii="Calibri" w:hAnsi="Calibri" w:cs="Calibri"/>
          <w:lang w:val="en-US"/>
        </w:rPr>
        <w:t xml:space="preserve">u prvom </w:t>
      </w:r>
      <w:r w:rsidR="0045650F" w:rsidRPr="0045650F">
        <w:rPr>
          <w:rFonts w:ascii="Calibri" w:hAnsi="Calibri" w:cs="Calibri"/>
          <w:lang w:val="en-US"/>
        </w:rPr>
        <w:t>polugodištu</w:t>
      </w:r>
      <w:r w:rsidR="00E1634A">
        <w:rPr>
          <w:rFonts w:ascii="Calibri" w:hAnsi="Calibri" w:cs="Calibri"/>
          <w:lang w:val="en-US"/>
        </w:rPr>
        <w:t xml:space="preserve"> teku</w:t>
      </w:r>
      <w:r w:rsidR="00E1634A">
        <w:rPr>
          <w:rFonts w:ascii="Calibri" w:hAnsi="Calibri" w:cs="Calibri"/>
        </w:rPr>
        <w:t xml:space="preserve">će godine </w:t>
      </w:r>
      <w:r w:rsidR="00FC0240">
        <w:rPr>
          <w:rFonts w:ascii="Calibri" w:hAnsi="Calibri" w:cs="Calibri"/>
          <w:lang w:val="en-US"/>
        </w:rPr>
        <w:t>ostvari</w:t>
      </w:r>
      <w:r w:rsidR="00BB3E5C">
        <w:rPr>
          <w:rFonts w:ascii="Calibri" w:hAnsi="Calibri" w:cs="Calibri"/>
          <w:lang w:val="en-US"/>
        </w:rPr>
        <w:t>l</w:t>
      </w:r>
      <w:r w:rsidR="007035B0">
        <w:rPr>
          <w:rFonts w:ascii="Calibri" w:hAnsi="Calibri" w:cs="Calibri"/>
          <w:lang w:val="en-US"/>
        </w:rPr>
        <w:t xml:space="preserve">a je </w:t>
      </w:r>
      <w:r w:rsidR="0045650F">
        <w:rPr>
          <w:rFonts w:ascii="Calibri" w:hAnsi="Calibri" w:cs="Calibri"/>
          <w:lang w:val="en-US"/>
        </w:rPr>
        <w:t>pad</w:t>
      </w:r>
      <w:r w:rsidR="00FC0240">
        <w:rPr>
          <w:rFonts w:ascii="Calibri" w:hAnsi="Calibri" w:cs="Calibri"/>
          <w:lang w:val="en-US"/>
        </w:rPr>
        <w:t xml:space="preserve"> za </w:t>
      </w:r>
      <w:r w:rsidR="0045650F">
        <w:rPr>
          <w:rFonts w:ascii="Calibri" w:hAnsi="Calibri" w:cs="Calibri"/>
          <w:lang w:val="en-US"/>
        </w:rPr>
        <w:t>6</w:t>
      </w:r>
      <w:r w:rsidR="00BF4E58">
        <w:rPr>
          <w:rFonts w:ascii="Calibri" w:hAnsi="Calibri" w:cs="Calibri"/>
          <w:lang w:val="en-US"/>
        </w:rPr>
        <w:t>,</w:t>
      </w:r>
      <w:r w:rsidR="0045650F">
        <w:rPr>
          <w:rFonts w:ascii="Calibri" w:hAnsi="Calibri" w:cs="Calibri"/>
          <w:lang w:val="en-US"/>
        </w:rPr>
        <w:t>27</w:t>
      </w:r>
      <w:r w:rsidR="007035B0">
        <w:rPr>
          <w:rFonts w:ascii="Calibri" w:hAnsi="Calibri" w:cs="Calibri"/>
          <w:lang w:val="en-US"/>
        </w:rPr>
        <w:t>%.</w:t>
      </w:r>
      <w:r w:rsidR="00BB20A9">
        <w:rPr>
          <w:rFonts w:ascii="Calibri" w:hAnsi="Calibri" w:cs="Calibri"/>
          <w:lang w:val="en-US"/>
        </w:rPr>
        <w:t xml:space="preserve"> U</w:t>
      </w:r>
      <w:r w:rsidR="00A76276">
        <w:rPr>
          <w:rFonts w:ascii="Calibri" w:hAnsi="Calibri" w:cs="Calibri"/>
          <w:lang w:val="en-US"/>
        </w:rPr>
        <w:t xml:space="preserve"> izvještajno</w:t>
      </w:r>
      <w:r w:rsidR="007035B0">
        <w:rPr>
          <w:rFonts w:ascii="Calibri" w:hAnsi="Calibri" w:cs="Calibri"/>
          <w:lang w:val="en-US"/>
        </w:rPr>
        <w:t>m</w:t>
      </w:r>
      <w:r w:rsidR="00A76276">
        <w:rPr>
          <w:rFonts w:ascii="Calibri" w:hAnsi="Calibri" w:cs="Calibri"/>
          <w:lang w:val="en-US"/>
        </w:rPr>
        <w:t xml:space="preserve"> periodu </w:t>
      </w:r>
      <w:r w:rsidR="001F3F6F">
        <w:rPr>
          <w:rFonts w:ascii="Calibri" w:hAnsi="Calibri" w:cs="Calibri"/>
          <w:lang w:val="en-US"/>
        </w:rPr>
        <w:t>ostvaren je rast</w:t>
      </w:r>
      <w:r w:rsidR="00BB3E5C">
        <w:rPr>
          <w:rFonts w:ascii="Calibri" w:hAnsi="Calibri" w:cs="Calibri"/>
          <w:lang w:val="en-US"/>
        </w:rPr>
        <w:t xml:space="preserve"> neto vrijednosti imovine po udjel</w:t>
      </w:r>
      <w:r w:rsidR="00633A55">
        <w:rPr>
          <w:rFonts w:ascii="Calibri" w:hAnsi="Calibri" w:cs="Calibri"/>
          <w:lang w:val="en-US"/>
        </w:rPr>
        <w:t>u</w:t>
      </w:r>
      <w:r w:rsidR="00AF5FA2">
        <w:rPr>
          <w:rFonts w:ascii="Calibri" w:hAnsi="Calibri" w:cs="Calibri"/>
          <w:lang w:val="en-US"/>
        </w:rPr>
        <w:t>,</w:t>
      </w:r>
      <w:r w:rsidR="00633A55">
        <w:rPr>
          <w:rFonts w:ascii="Calibri" w:hAnsi="Calibri" w:cs="Calibri"/>
          <w:lang w:val="en-US"/>
        </w:rPr>
        <w:t xml:space="preserve"> koja je u odnos</w:t>
      </w:r>
      <w:r w:rsidR="00BB20A9">
        <w:rPr>
          <w:rFonts w:ascii="Calibri" w:hAnsi="Calibri" w:cs="Calibri"/>
          <w:lang w:val="en-US"/>
        </w:rPr>
        <w:t>u na 31.12.2021</w:t>
      </w:r>
      <w:r w:rsidR="001F3F6F">
        <w:rPr>
          <w:rFonts w:ascii="Calibri" w:hAnsi="Calibri" w:cs="Calibri"/>
          <w:lang w:val="en-US"/>
        </w:rPr>
        <w:t>.</w:t>
      </w:r>
      <w:r w:rsidR="008A489C">
        <w:rPr>
          <w:rFonts w:ascii="Calibri" w:hAnsi="Calibri" w:cs="Calibri"/>
          <w:lang w:val="en-US"/>
        </w:rPr>
        <w:t xml:space="preserve"> </w:t>
      </w:r>
      <w:r w:rsidR="001F3F6F">
        <w:rPr>
          <w:rFonts w:ascii="Calibri" w:hAnsi="Calibri" w:cs="Calibri"/>
          <w:lang w:val="en-US"/>
        </w:rPr>
        <w:t>godine</w:t>
      </w:r>
      <w:r w:rsidR="008A489C">
        <w:rPr>
          <w:rFonts w:ascii="Calibri" w:hAnsi="Calibri" w:cs="Calibri"/>
          <w:lang w:val="en-US"/>
        </w:rPr>
        <w:t xml:space="preserve"> </w:t>
      </w:r>
      <w:r w:rsidR="001F3F6F">
        <w:rPr>
          <w:rFonts w:ascii="Calibri" w:hAnsi="Calibri" w:cs="Calibri"/>
          <w:lang w:val="en-US"/>
        </w:rPr>
        <w:t>veća</w:t>
      </w:r>
      <w:r w:rsidR="00BB20A9">
        <w:rPr>
          <w:rFonts w:ascii="Calibri" w:hAnsi="Calibri" w:cs="Calibri"/>
          <w:lang w:val="en-US"/>
        </w:rPr>
        <w:t xml:space="preserve"> za 3</w:t>
      </w:r>
      <w:r w:rsidR="0045650F">
        <w:rPr>
          <w:rFonts w:ascii="Calibri" w:hAnsi="Calibri" w:cs="Calibri"/>
          <w:lang w:val="en-US"/>
        </w:rPr>
        <w:t>,86</w:t>
      </w:r>
      <w:r w:rsidR="00BB3E5C">
        <w:rPr>
          <w:rFonts w:ascii="Calibri" w:hAnsi="Calibri" w:cs="Calibri"/>
          <w:lang w:val="en-US"/>
        </w:rPr>
        <w:t>%.</w:t>
      </w:r>
      <w:r w:rsidR="00BB20A9">
        <w:rPr>
          <w:rFonts w:ascii="Calibri" w:hAnsi="Calibri" w:cs="Calibri"/>
          <w:lang w:val="en-US"/>
        </w:rPr>
        <w:t xml:space="preserve"> Razlika između ova dva podatka je zbog isplate udjela vlasnicima u posmatranom periodu.</w:t>
      </w:r>
    </w:p>
    <w:p w:rsidR="00AF5FA2" w:rsidRDefault="00AF5FA2" w:rsidP="00301296">
      <w:pPr>
        <w:jc w:val="both"/>
        <w:rPr>
          <w:rFonts w:ascii="Calibri" w:hAnsi="Calibri" w:cs="Calibri"/>
          <w:lang w:val="en-US"/>
        </w:rPr>
      </w:pPr>
    </w:p>
    <w:p w:rsidR="00AF5FA2" w:rsidRDefault="00AF5FA2" w:rsidP="00301296">
      <w:pPr>
        <w:jc w:val="both"/>
        <w:rPr>
          <w:rFonts w:ascii="Calibri" w:hAnsi="Calibri" w:cs="Calibri"/>
          <w:lang w:val="en-US"/>
        </w:rPr>
      </w:pPr>
    </w:p>
    <w:p w:rsidR="004B52D9" w:rsidRPr="005114BB" w:rsidRDefault="00FB5BAE" w:rsidP="0081129B">
      <w:pPr>
        <w:numPr>
          <w:ilvl w:val="0"/>
          <w:numId w:val="7"/>
        </w:numPr>
        <w:ind w:right="-1299"/>
        <w:rPr>
          <w:rFonts w:ascii="Calibri" w:hAnsi="Calibri" w:cs="Calibri"/>
          <w:b/>
          <w:lang w:val="en-US"/>
        </w:rPr>
      </w:pPr>
      <w:r w:rsidRPr="005114BB">
        <w:rPr>
          <w:rFonts w:ascii="Calibri" w:hAnsi="Calibri" w:cs="Calibri"/>
          <w:b/>
          <w:lang w:val="en-US"/>
        </w:rPr>
        <w:t>Portfelj fond</w:t>
      </w:r>
      <w:r w:rsidR="004B52D9" w:rsidRPr="005114BB">
        <w:rPr>
          <w:rFonts w:ascii="Calibri" w:hAnsi="Calibri" w:cs="Calibri"/>
          <w:b/>
          <w:lang w:val="en-US"/>
        </w:rPr>
        <w:t>a</w:t>
      </w:r>
    </w:p>
    <w:p w:rsidR="00930DFE" w:rsidRDefault="00930DFE" w:rsidP="009A31A4">
      <w:pPr>
        <w:jc w:val="both"/>
        <w:rPr>
          <w:rFonts w:ascii="Calibri" w:hAnsi="Calibri" w:cs="Calibri"/>
        </w:rPr>
      </w:pPr>
    </w:p>
    <w:p w:rsidR="00831961" w:rsidRDefault="00E149D5">
      <w:pPr>
        <w:rPr>
          <w:rFonts w:ascii="Calibri" w:hAnsi="Calibri" w:cs="Calibri"/>
        </w:rPr>
      </w:pPr>
      <w:r>
        <w:rPr>
          <w:rFonts w:ascii="Calibri" w:hAnsi="Calibri" w:cs="Calibri"/>
        </w:rPr>
        <w:t>U narednoj tabeli prikazana je s</w:t>
      </w:r>
      <w:r w:rsidR="00930DFE">
        <w:rPr>
          <w:rFonts w:ascii="Calibri" w:hAnsi="Calibri" w:cs="Calibri"/>
        </w:rPr>
        <w:t xml:space="preserve">truktura </w:t>
      </w:r>
      <w:r>
        <w:rPr>
          <w:rFonts w:ascii="Calibri" w:hAnsi="Calibri" w:cs="Calibri"/>
        </w:rPr>
        <w:t xml:space="preserve">portfelja </w:t>
      </w:r>
      <w:r w:rsidR="00930DFE">
        <w:rPr>
          <w:rFonts w:ascii="Calibri" w:hAnsi="Calibri" w:cs="Calibri"/>
        </w:rPr>
        <w:t>po vrsti imovine:</w:t>
      </w:r>
    </w:p>
    <w:p w:rsidR="00930DFE" w:rsidRPr="00686446" w:rsidRDefault="00930DFE">
      <w:pPr>
        <w:rPr>
          <w:rFonts w:ascii="Calibri" w:hAnsi="Calibri" w:cs="Calibri"/>
        </w:rPr>
      </w:pPr>
    </w:p>
    <w:tbl>
      <w:tblPr>
        <w:tblW w:w="8879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3489"/>
        <w:gridCol w:w="2406"/>
        <w:gridCol w:w="2984"/>
      </w:tblGrid>
      <w:tr w:rsidR="00D6195D" w:rsidRPr="00AE696F" w:rsidTr="00070289">
        <w:trPr>
          <w:trHeight w:val="417"/>
        </w:trPr>
        <w:tc>
          <w:tcPr>
            <w:tcW w:w="348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AE696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Vrsta ulaganja</w:t>
            </w:r>
          </w:p>
        </w:tc>
        <w:tc>
          <w:tcPr>
            <w:tcW w:w="240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5114BB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Ukupna vrijednost na dan 3</w:t>
            </w:r>
            <w:r w:rsidR="003321E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0</w:t>
            </w: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</w:t>
            </w:r>
            <w:r w:rsidR="003321E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06</w:t>
            </w:r>
            <w:r w:rsidR="00070289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.2022</w:t>
            </w: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84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AE696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Učešće u neto vrijednosti imovine fonda (%)</w:t>
            </w:r>
          </w:p>
        </w:tc>
      </w:tr>
      <w:tr w:rsidR="00D976BC" w:rsidRPr="00AE696F" w:rsidTr="00070289">
        <w:trPr>
          <w:trHeight w:val="246"/>
        </w:trPr>
        <w:tc>
          <w:tcPr>
            <w:tcW w:w="3489" w:type="dxa"/>
            <w:shd w:val="clear" w:color="auto" w:fill="D2EAF1"/>
            <w:vAlign w:val="bottom"/>
            <w:hideMark/>
          </w:tcPr>
          <w:p w:rsidR="00D976BC" w:rsidRPr="001F6D3E" w:rsidRDefault="00D976BC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Gotovin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D976BC" w:rsidRPr="00D976BC" w:rsidRDefault="003321EE" w:rsidP="00070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751</w:t>
            </w:r>
            <w:r w:rsidR="00330C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312,20</w:t>
            </w:r>
          </w:p>
        </w:tc>
        <w:tc>
          <w:tcPr>
            <w:tcW w:w="2984" w:type="dxa"/>
            <w:shd w:val="clear" w:color="auto" w:fill="D2EAF1"/>
            <w:noWrap/>
            <w:hideMark/>
          </w:tcPr>
          <w:p w:rsidR="00D976BC" w:rsidRPr="00D976BC" w:rsidRDefault="00070289" w:rsidP="00070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0C2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21E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</w:tr>
      <w:tr w:rsidR="00D976BC" w:rsidRPr="00AE696F" w:rsidTr="00070289">
        <w:trPr>
          <w:trHeight w:val="246"/>
        </w:trPr>
        <w:tc>
          <w:tcPr>
            <w:tcW w:w="3489" w:type="dxa"/>
            <w:shd w:val="clear" w:color="auto" w:fill="auto"/>
            <w:vAlign w:val="bottom"/>
            <w:hideMark/>
          </w:tcPr>
          <w:p w:rsidR="00D976BC" w:rsidRPr="001F6D3E" w:rsidRDefault="00D976BC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Oročeni depozit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406" w:type="dxa"/>
            <w:shd w:val="clear" w:color="auto" w:fill="auto"/>
            <w:hideMark/>
          </w:tcPr>
          <w:p w:rsidR="00D976BC" w:rsidRPr="00D976BC" w:rsidRDefault="003321EE" w:rsidP="00070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976BC" w:rsidRPr="00D976BC" w:rsidRDefault="003321EE" w:rsidP="00070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7028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976BC" w:rsidRPr="00AE696F" w:rsidTr="00070289">
        <w:trPr>
          <w:trHeight w:val="246"/>
        </w:trPr>
        <w:tc>
          <w:tcPr>
            <w:tcW w:w="3489" w:type="dxa"/>
            <w:shd w:val="clear" w:color="auto" w:fill="D2EAF1"/>
            <w:vAlign w:val="bottom"/>
            <w:hideMark/>
          </w:tcPr>
          <w:p w:rsidR="00D976BC" w:rsidRPr="001F6D3E" w:rsidRDefault="00D976BC" w:rsidP="00F90A6F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Akcij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D976BC" w:rsidRPr="00D976BC" w:rsidRDefault="003321EE" w:rsidP="003321E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</w:t>
            </w:r>
            <w:r w:rsidR="00330C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815</w:t>
            </w:r>
            <w:r w:rsidR="00330C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760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7028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84" w:type="dxa"/>
            <w:shd w:val="clear" w:color="auto" w:fill="D2EAF1"/>
            <w:noWrap/>
            <w:hideMark/>
          </w:tcPr>
          <w:p w:rsidR="00D976BC" w:rsidRPr="00D976BC" w:rsidRDefault="003321EE" w:rsidP="00070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</w:t>
            </w:r>
            <w:r w:rsidR="00330C2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7028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976BC" w:rsidRPr="00AE696F" w:rsidTr="00070289">
        <w:trPr>
          <w:trHeight w:val="246"/>
        </w:trPr>
        <w:tc>
          <w:tcPr>
            <w:tcW w:w="3489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D976BC" w:rsidRPr="001F6D3E" w:rsidRDefault="00D976BC" w:rsidP="00F90A6F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Obveznic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bottom w:val="nil"/>
            </w:tcBorders>
            <w:shd w:val="clear" w:color="auto" w:fill="auto"/>
            <w:hideMark/>
          </w:tcPr>
          <w:p w:rsidR="00D976BC" w:rsidRPr="00D976BC" w:rsidRDefault="003321EE" w:rsidP="00330C2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3.691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034,</w:t>
            </w:r>
            <w:r w:rsidR="0007028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84" w:type="dxa"/>
            <w:tcBorders>
              <w:bottom w:val="nil"/>
            </w:tcBorders>
            <w:shd w:val="clear" w:color="auto" w:fill="auto"/>
            <w:noWrap/>
            <w:hideMark/>
          </w:tcPr>
          <w:p w:rsidR="00D976BC" w:rsidRPr="00D976BC" w:rsidRDefault="00070289" w:rsidP="00330C2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21EE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D976BC" w:rsidRPr="00AE696F" w:rsidTr="00070289">
        <w:trPr>
          <w:trHeight w:val="246"/>
        </w:trPr>
        <w:tc>
          <w:tcPr>
            <w:tcW w:w="3489" w:type="dxa"/>
            <w:tcBorders>
              <w:top w:val="nil"/>
              <w:bottom w:val="nil"/>
            </w:tcBorders>
            <w:shd w:val="clear" w:color="auto" w:fill="DAEEF3" w:themeFill="accent5" w:themeFillTint="33"/>
            <w:vAlign w:val="bottom"/>
            <w:hideMark/>
          </w:tcPr>
          <w:p w:rsidR="00D976BC" w:rsidRPr="001F6D3E" w:rsidRDefault="00D976BC" w:rsidP="00F90A6F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Potraživanj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406" w:type="dxa"/>
            <w:tcBorders>
              <w:top w:val="nil"/>
              <w:bottom w:val="nil"/>
            </w:tcBorders>
            <w:shd w:val="clear" w:color="auto" w:fill="DAEEF3" w:themeFill="accent5" w:themeFillTint="33"/>
            <w:hideMark/>
          </w:tcPr>
          <w:p w:rsidR="00D976BC" w:rsidRPr="00D976BC" w:rsidRDefault="003321EE" w:rsidP="00070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797</w:t>
            </w:r>
            <w:r w:rsidR="00330C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2984" w:type="dxa"/>
            <w:tcBorders>
              <w:top w:val="nil"/>
              <w:bottom w:val="nil"/>
            </w:tcBorders>
            <w:shd w:val="clear" w:color="auto" w:fill="DAEEF3" w:themeFill="accent5" w:themeFillTint="33"/>
            <w:noWrap/>
            <w:hideMark/>
          </w:tcPr>
          <w:p w:rsidR="00D976BC" w:rsidRPr="00D976BC" w:rsidRDefault="00070289" w:rsidP="00D976B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321EE">
              <w:rPr>
                <w:rFonts w:asciiTheme="minorHAnsi" w:hAnsiTheme="minorHAnsi" w:cstheme="minorHAnsi"/>
                <w:sz w:val="22"/>
                <w:szCs w:val="22"/>
              </w:rPr>
              <w:t>,43</w:t>
            </w:r>
          </w:p>
        </w:tc>
      </w:tr>
      <w:tr w:rsidR="00D976BC" w:rsidRPr="00AE696F" w:rsidTr="00070289">
        <w:trPr>
          <w:trHeight w:val="246"/>
        </w:trPr>
        <w:tc>
          <w:tcPr>
            <w:tcW w:w="348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976BC" w:rsidRPr="001F6D3E" w:rsidRDefault="00D976BC" w:rsidP="00F90A6F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Obavez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76BC" w:rsidRPr="00D976BC" w:rsidRDefault="003321EE" w:rsidP="0007028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-526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577</w:t>
            </w:r>
            <w:r w:rsidR="00D976BC" w:rsidRPr="00D976B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2984" w:type="dxa"/>
            <w:tcBorders>
              <w:top w:val="nil"/>
              <w:bottom w:val="nil"/>
            </w:tcBorders>
            <w:shd w:val="clear" w:color="auto" w:fill="auto"/>
            <w:noWrap/>
          </w:tcPr>
          <w:p w:rsidR="00D976BC" w:rsidRPr="00D976BC" w:rsidRDefault="003321EE" w:rsidP="00330C2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-0,94</w:t>
            </w:r>
          </w:p>
        </w:tc>
      </w:tr>
      <w:tr w:rsidR="00D976BC" w:rsidRPr="00AE696F" w:rsidTr="00070289">
        <w:trPr>
          <w:trHeight w:val="246"/>
        </w:trPr>
        <w:tc>
          <w:tcPr>
            <w:tcW w:w="3489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vAlign w:val="bottom"/>
            <w:hideMark/>
          </w:tcPr>
          <w:p w:rsidR="00D976BC" w:rsidRPr="001F6D3E" w:rsidRDefault="00D976B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UKUPNO</w:t>
            </w:r>
            <w:r w:rsidRPr="001F6D3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06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hideMark/>
          </w:tcPr>
          <w:p w:rsidR="00D976BC" w:rsidRPr="00A940FE" w:rsidRDefault="003321EE" w:rsidP="003321E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FE">
              <w:rPr>
                <w:rFonts w:asciiTheme="minorHAnsi" w:hAnsiTheme="minorHAnsi" w:cstheme="minorHAnsi"/>
                <w:b/>
                <w:sz w:val="22"/>
                <w:szCs w:val="22"/>
              </w:rPr>
              <w:t>55</w:t>
            </w:r>
            <w:r w:rsidR="00330C28" w:rsidRPr="00A940F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A940FE">
              <w:rPr>
                <w:rFonts w:asciiTheme="minorHAnsi" w:hAnsiTheme="minorHAnsi" w:cstheme="minorHAnsi"/>
                <w:b/>
                <w:sz w:val="22"/>
                <w:szCs w:val="22"/>
              </w:rPr>
              <w:t>795</w:t>
            </w:r>
            <w:r w:rsidR="00330C28" w:rsidRPr="00A940F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A940FE">
              <w:rPr>
                <w:rFonts w:asciiTheme="minorHAnsi" w:hAnsiTheme="minorHAnsi" w:cstheme="minorHAnsi"/>
                <w:b/>
                <w:sz w:val="22"/>
                <w:szCs w:val="22"/>
              </w:rPr>
              <w:t>051</w:t>
            </w:r>
            <w:r w:rsidR="00D976BC" w:rsidRPr="00A940FE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A940FE">
              <w:rPr>
                <w:rFonts w:asciiTheme="minorHAnsi" w:hAnsiTheme="minorHAnsi" w:cstheme="minorHAnsi"/>
                <w:b/>
                <w:sz w:val="22"/>
                <w:szCs w:val="22"/>
              </w:rPr>
              <w:t>43</w:t>
            </w:r>
          </w:p>
        </w:tc>
        <w:tc>
          <w:tcPr>
            <w:tcW w:w="2984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noWrap/>
            <w:hideMark/>
          </w:tcPr>
          <w:p w:rsidR="00D976BC" w:rsidRPr="00A940FE" w:rsidRDefault="00D976BC" w:rsidP="00D976B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40FE">
              <w:rPr>
                <w:rFonts w:asciiTheme="minorHAnsi" w:hAnsiTheme="minorHAnsi" w:cstheme="minorHAnsi"/>
                <w:b/>
                <w:sz w:val="22"/>
                <w:szCs w:val="22"/>
              </w:rPr>
              <w:t>100,00</w:t>
            </w:r>
          </w:p>
        </w:tc>
      </w:tr>
    </w:tbl>
    <w:p w:rsidR="005A4F7A" w:rsidRDefault="005A4F7A">
      <w:pPr>
        <w:rPr>
          <w:rFonts w:ascii="Calibri" w:hAnsi="Calibri" w:cs="Calibri"/>
        </w:rPr>
      </w:pPr>
    </w:p>
    <w:p w:rsidR="00070289" w:rsidRDefault="00070289" w:rsidP="00930DFE">
      <w:pPr>
        <w:jc w:val="both"/>
        <w:rPr>
          <w:rFonts w:ascii="Calibri" w:hAnsi="Calibri" w:cs="Calibri"/>
        </w:rPr>
      </w:pPr>
    </w:p>
    <w:p w:rsidR="00E149D5" w:rsidRPr="0096759A" w:rsidRDefault="00930DFE" w:rsidP="00930DFE">
      <w:pPr>
        <w:jc w:val="both"/>
        <w:rPr>
          <w:rFonts w:ascii="Calibri" w:hAnsi="Calibri" w:cs="Calibri"/>
        </w:rPr>
      </w:pPr>
      <w:r w:rsidRPr="0096759A">
        <w:rPr>
          <w:rFonts w:ascii="Calibri" w:hAnsi="Calibri" w:cs="Calibri"/>
        </w:rPr>
        <w:t>U strukturi</w:t>
      </w:r>
      <w:r w:rsidR="00910D8B">
        <w:rPr>
          <w:rFonts w:ascii="Calibri" w:hAnsi="Calibri" w:cs="Calibri"/>
        </w:rPr>
        <w:t xml:space="preserve"> neto</w:t>
      </w:r>
      <w:r w:rsidRPr="0096759A">
        <w:rPr>
          <w:rFonts w:ascii="Calibri" w:hAnsi="Calibri" w:cs="Calibri"/>
        </w:rPr>
        <w:t xml:space="preserve"> imovine Fonda </w:t>
      </w:r>
      <w:r w:rsidR="00EB5D87" w:rsidRPr="0096759A">
        <w:rPr>
          <w:rFonts w:ascii="Calibri" w:hAnsi="Calibri" w:cs="Calibri"/>
        </w:rPr>
        <w:t>na dan 3</w:t>
      </w:r>
      <w:r w:rsidR="00F85D54">
        <w:rPr>
          <w:rFonts w:ascii="Calibri" w:hAnsi="Calibri" w:cs="Calibri"/>
        </w:rPr>
        <w:t>0</w:t>
      </w:r>
      <w:r w:rsidR="00EB5D87" w:rsidRPr="0096759A">
        <w:rPr>
          <w:rFonts w:ascii="Calibri" w:hAnsi="Calibri" w:cs="Calibri"/>
        </w:rPr>
        <w:t>.</w:t>
      </w:r>
      <w:r w:rsidR="00F85D54">
        <w:rPr>
          <w:rFonts w:ascii="Calibri" w:hAnsi="Calibri" w:cs="Calibri"/>
        </w:rPr>
        <w:t>06</w:t>
      </w:r>
      <w:r w:rsidR="00070289">
        <w:rPr>
          <w:rFonts w:ascii="Calibri" w:hAnsi="Calibri" w:cs="Calibri"/>
        </w:rPr>
        <w:t>.2022</w:t>
      </w:r>
      <w:r w:rsidR="00EB5D87" w:rsidRPr="0096759A">
        <w:rPr>
          <w:rFonts w:ascii="Calibri" w:hAnsi="Calibri" w:cs="Calibri"/>
        </w:rPr>
        <w:t xml:space="preserve">.godine </w:t>
      </w:r>
      <w:r w:rsidRPr="0096759A">
        <w:rPr>
          <w:rFonts w:ascii="Calibri" w:hAnsi="Calibri" w:cs="Calibri"/>
        </w:rPr>
        <w:t xml:space="preserve">najveće učešće imaju akcije sa </w:t>
      </w:r>
      <w:r w:rsidR="00F85D54">
        <w:rPr>
          <w:rFonts w:ascii="Calibri" w:hAnsi="Calibri" w:cs="Calibri"/>
        </w:rPr>
        <w:t>83</w:t>
      </w:r>
      <w:r w:rsidR="008F6DA5">
        <w:rPr>
          <w:rFonts w:ascii="Calibri" w:hAnsi="Calibri" w:cs="Calibri"/>
        </w:rPr>
        <w:t>,</w:t>
      </w:r>
      <w:r w:rsidR="00070289">
        <w:rPr>
          <w:rFonts w:ascii="Calibri" w:hAnsi="Calibri" w:cs="Calibri"/>
        </w:rPr>
        <w:t>9</w:t>
      </w:r>
      <w:r w:rsidR="00F85D54">
        <w:rPr>
          <w:rFonts w:ascii="Calibri" w:hAnsi="Calibri" w:cs="Calibri"/>
        </w:rPr>
        <w:t>1</w:t>
      </w:r>
      <w:r w:rsidRPr="0096759A">
        <w:rPr>
          <w:rFonts w:ascii="Calibri" w:hAnsi="Calibri" w:cs="Calibri"/>
        </w:rPr>
        <w:t xml:space="preserve">%, a slijede </w:t>
      </w:r>
      <w:r w:rsidR="00D6195D" w:rsidRPr="0096759A">
        <w:rPr>
          <w:rFonts w:ascii="Calibri" w:hAnsi="Calibri" w:cs="Calibri"/>
        </w:rPr>
        <w:t xml:space="preserve">depoziti </w:t>
      </w:r>
      <w:r w:rsidRPr="0096759A">
        <w:rPr>
          <w:rFonts w:ascii="Calibri" w:hAnsi="Calibri" w:cs="Calibri"/>
        </w:rPr>
        <w:t xml:space="preserve">sa učešćem od </w:t>
      </w:r>
      <w:r w:rsidR="00F85D54">
        <w:rPr>
          <w:rFonts w:ascii="Calibri" w:hAnsi="Calibri" w:cs="Calibri"/>
        </w:rPr>
        <w:t>7</w:t>
      </w:r>
      <w:r w:rsidR="008F6DA5">
        <w:rPr>
          <w:rFonts w:ascii="Calibri" w:hAnsi="Calibri" w:cs="Calibri"/>
        </w:rPr>
        <w:t>,</w:t>
      </w:r>
      <w:r w:rsidR="00F85D54">
        <w:rPr>
          <w:rFonts w:ascii="Calibri" w:hAnsi="Calibri" w:cs="Calibri"/>
        </w:rPr>
        <w:t>65</w:t>
      </w:r>
      <w:r w:rsidR="008F6DA5">
        <w:rPr>
          <w:rFonts w:ascii="Calibri" w:hAnsi="Calibri" w:cs="Calibri"/>
        </w:rPr>
        <w:t xml:space="preserve">% te obveznice </w:t>
      </w:r>
      <w:r w:rsidR="00070289">
        <w:rPr>
          <w:rFonts w:ascii="Calibri" w:hAnsi="Calibri" w:cs="Calibri"/>
        </w:rPr>
        <w:t>sa učešćem od 6</w:t>
      </w:r>
      <w:r w:rsidR="00834FDD">
        <w:rPr>
          <w:rFonts w:ascii="Calibri" w:hAnsi="Calibri" w:cs="Calibri"/>
        </w:rPr>
        <w:t>,</w:t>
      </w:r>
      <w:r w:rsidR="00F85D54">
        <w:rPr>
          <w:rFonts w:ascii="Calibri" w:hAnsi="Calibri" w:cs="Calibri"/>
        </w:rPr>
        <w:t>62</w:t>
      </w:r>
      <w:r w:rsidR="00834FDD">
        <w:rPr>
          <w:rFonts w:ascii="Calibri" w:hAnsi="Calibri" w:cs="Calibri"/>
        </w:rPr>
        <w:t xml:space="preserve"> % neto vrijednosti imovine. </w:t>
      </w:r>
      <w:r w:rsidR="00A7279E">
        <w:rPr>
          <w:rFonts w:ascii="Calibri" w:hAnsi="Calibri" w:cs="Calibri"/>
        </w:rPr>
        <w:t>Iz prethodne tabele v</w:t>
      </w:r>
      <w:r w:rsidR="00D976BC">
        <w:rPr>
          <w:rFonts w:ascii="Calibri" w:hAnsi="Calibri" w:cs="Calibri"/>
        </w:rPr>
        <w:t xml:space="preserve">idimo da je struktura ulaganja </w:t>
      </w:r>
      <w:r w:rsidR="00834FDD">
        <w:rPr>
          <w:rFonts w:ascii="Calibri" w:hAnsi="Calibri" w:cs="Calibri"/>
        </w:rPr>
        <w:t>u skladu sa</w:t>
      </w:r>
      <w:r w:rsidR="00D976BC">
        <w:rPr>
          <w:rFonts w:ascii="Calibri" w:hAnsi="Calibri" w:cs="Calibri"/>
        </w:rPr>
        <w:t xml:space="preserve"> Prospektom Fonda.</w:t>
      </w:r>
    </w:p>
    <w:p w:rsidR="00E40F54" w:rsidRDefault="00E40F54" w:rsidP="00930DFE">
      <w:pPr>
        <w:jc w:val="both"/>
        <w:rPr>
          <w:rFonts w:ascii="Calibri" w:hAnsi="Calibri" w:cs="Calibri"/>
        </w:rPr>
      </w:pPr>
    </w:p>
    <w:p w:rsidR="00A940FE" w:rsidRDefault="00A940FE" w:rsidP="00930DFE">
      <w:pPr>
        <w:jc w:val="both"/>
        <w:rPr>
          <w:rFonts w:ascii="Calibri" w:hAnsi="Calibri" w:cs="Calibri"/>
        </w:rPr>
      </w:pPr>
    </w:p>
    <w:p w:rsidR="00A940FE" w:rsidRDefault="00A940FE" w:rsidP="00930DFE">
      <w:pPr>
        <w:jc w:val="both"/>
        <w:rPr>
          <w:rFonts w:ascii="Calibri" w:hAnsi="Calibri" w:cs="Calibri"/>
        </w:rPr>
      </w:pPr>
    </w:p>
    <w:p w:rsidR="00A940FE" w:rsidRDefault="00A940FE" w:rsidP="00930DFE">
      <w:pPr>
        <w:jc w:val="both"/>
        <w:rPr>
          <w:rFonts w:ascii="Calibri" w:hAnsi="Calibri" w:cs="Calibri"/>
        </w:rPr>
      </w:pPr>
    </w:p>
    <w:p w:rsidR="00A940FE" w:rsidRDefault="00A940FE" w:rsidP="00930DFE">
      <w:pPr>
        <w:jc w:val="both"/>
        <w:rPr>
          <w:rFonts w:ascii="Calibri" w:hAnsi="Calibri" w:cs="Calibri"/>
        </w:rPr>
      </w:pPr>
    </w:p>
    <w:p w:rsidR="00A940FE" w:rsidRDefault="00A940FE" w:rsidP="00930DFE">
      <w:pPr>
        <w:jc w:val="both"/>
        <w:rPr>
          <w:rFonts w:ascii="Calibri" w:hAnsi="Calibri" w:cs="Calibri"/>
        </w:rPr>
      </w:pPr>
    </w:p>
    <w:p w:rsidR="00A940FE" w:rsidRPr="0096759A" w:rsidRDefault="00A940FE" w:rsidP="00930DFE">
      <w:pPr>
        <w:jc w:val="both"/>
        <w:rPr>
          <w:rFonts w:ascii="Calibri" w:hAnsi="Calibri" w:cs="Calibri"/>
        </w:rPr>
      </w:pPr>
    </w:p>
    <w:p w:rsidR="00E149D5" w:rsidRDefault="00E149D5" w:rsidP="00930DFE">
      <w:pPr>
        <w:jc w:val="both"/>
        <w:rPr>
          <w:rFonts w:ascii="Calibri" w:hAnsi="Calibri" w:cs="Calibri"/>
        </w:rPr>
      </w:pPr>
      <w:r w:rsidRPr="00F444CA">
        <w:rPr>
          <w:rFonts w:ascii="Calibri" w:hAnsi="Calibri" w:cs="Calibri"/>
        </w:rPr>
        <w:lastRenderedPageBreak/>
        <w:t>U narednoj tabeli prikazano je deset najvećih pojedinačnih ulaganja Fonda u hartije od vrijednosti</w:t>
      </w:r>
      <w:r w:rsidR="0045650F">
        <w:rPr>
          <w:rFonts w:ascii="Calibri" w:hAnsi="Calibri" w:cs="Calibri"/>
        </w:rPr>
        <w:t xml:space="preserve"> na dan 30.06</w:t>
      </w:r>
      <w:r w:rsidR="00070289">
        <w:rPr>
          <w:rFonts w:ascii="Calibri" w:hAnsi="Calibri" w:cs="Calibri"/>
        </w:rPr>
        <w:t>.2022</w:t>
      </w:r>
      <w:r w:rsidR="00F444CA">
        <w:rPr>
          <w:rFonts w:ascii="Calibri" w:hAnsi="Calibri" w:cs="Calibri"/>
        </w:rPr>
        <w:t>.godine</w:t>
      </w:r>
      <w:r w:rsidRPr="0096759A">
        <w:rPr>
          <w:rFonts w:ascii="Calibri" w:hAnsi="Calibri" w:cs="Calibri"/>
        </w:rPr>
        <w:t>:</w:t>
      </w:r>
    </w:p>
    <w:p w:rsidR="00E149D5" w:rsidRDefault="00E149D5" w:rsidP="00930DFE">
      <w:pPr>
        <w:jc w:val="both"/>
        <w:rPr>
          <w:rFonts w:ascii="Calibri" w:hAnsi="Calibri" w:cs="Calibri"/>
        </w:rPr>
      </w:pPr>
    </w:p>
    <w:tbl>
      <w:tblPr>
        <w:tblW w:w="8775" w:type="dxa"/>
        <w:tblLook w:val="04A0" w:firstRow="1" w:lastRow="0" w:firstColumn="1" w:lastColumn="0" w:noHBand="0" w:noVBand="1"/>
      </w:tblPr>
      <w:tblGrid>
        <w:gridCol w:w="4395"/>
        <w:gridCol w:w="1220"/>
        <w:gridCol w:w="1900"/>
        <w:gridCol w:w="1420"/>
      </w:tblGrid>
      <w:tr w:rsidR="00C12303" w:rsidTr="00C12303">
        <w:trPr>
          <w:trHeight w:val="315"/>
        </w:trPr>
        <w:tc>
          <w:tcPr>
            <w:tcW w:w="439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0" w:name="RANGE!I3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Emitent</w:t>
            </w:r>
            <w:bookmarkEnd w:id="0"/>
          </w:p>
        </w:tc>
        <w:tc>
          <w:tcPr>
            <w:tcW w:w="106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hov</w:t>
            </w:r>
          </w:p>
        </w:tc>
        <w:tc>
          <w:tcPr>
            <w:tcW w:w="19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Iznos u KM</w:t>
            </w:r>
          </w:p>
        </w:tc>
        <w:tc>
          <w:tcPr>
            <w:tcW w:w="142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Učešće u NVI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Telekom Srpske a.d. Banja Luka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10.361.604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15.732.023,35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28,20%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Hidroelektrane na Drini a.d. Višegrad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22.381.182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6.651.687,29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11,92%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Hidroelektrane na Trebišnjici a.d. Trebinje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20.567.648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6.406.822,35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11,48%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Jugopetrol a.d. Podgorica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120.222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2.539.444,98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4,55%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Citigroup Inc.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20.255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1.732.346,69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3,10%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Telekom Slovenije d.d. Ljubljana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1.120.201,63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2,01%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Hidroelektrane na Vrbasu a.d. Mrkonjić Grad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2.829.464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1.066.707,93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1,91%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Bristol-Myers Squibb Company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6.875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984.470,22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1,76%</w:t>
            </w:r>
          </w:p>
        </w:tc>
      </w:tr>
      <w:tr w:rsidR="00C12303" w:rsidTr="00C1230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REPUBLIKA SRPSKA-RSRS-O-F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2.832.216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837.967,36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1,50%</w:t>
            </w:r>
          </w:p>
        </w:tc>
      </w:tr>
      <w:tr w:rsidR="00C12303" w:rsidTr="00C12303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Fresenius SE &amp; Co. KGaA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831.460,49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1,49%</w:t>
            </w:r>
          </w:p>
        </w:tc>
      </w:tr>
      <w:tr w:rsidR="00C12303" w:rsidTr="00C12303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UKUPNO: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37.903.132,30 KM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C12303" w:rsidRDefault="00C123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67,93%</w:t>
            </w:r>
          </w:p>
        </w:tc>
      </w:tr>
    </w:tbl>
    <w:p w:rsidR="00F70C73" w:rsidRDefault="00F70C73" w:rsidP="00F70C73">
      <w:pPr>
        <w:ind w:left="720"/>
        <w:rPr>
          <w:rFonts w:ascii="Calibri" w:hAnsi="Calibri" w:cs="Calibri"/>
          <w:b/>
          <w:lang w:val="en-US"/>
        </w:rPr>
      </w:pPr>
    </w:p>
    <w:p w:rsidR="00F70C73" w:rsidRDefault="0096759A" w:rsidP="00B10C4D">
      <w:pPr>
        <w:jc w:val="both"/>
        <w:rPr>
          <w:rFonts w:ascii="Calibri" w:hAnsi="Calibri" w:cs="Calibri"/>
          <w:lang w:val="en-US"/>
        </w:rPr>
      </w:pPr>
      <w:r w:rsidRPr="00B10C4D">
        <w:rPr>
          <w:rFonts w:ascii="Calibri" w:hAnsi="Calibri" w:cs="Calibri"/>
          <w:lang w:val="en-US"/>
        </w:rPr>
        <w:t xml:space="preserve">Iz gore navedene tabele vidimo da je najveća izloženost portelja Fonda </w:t>
      </w:r>
      <w:r w:rsidR="00B10C4D">
        <w:rPr>
          <w:rFonts w:ascii="Calibri" w:hAnsi="Calibri" w:cs="Calibri"/>
          <w:lang w:val="en-US"/>
        </w:rPr>
        <w:t xml:space="preserve">pojedinačno </w:t>
      </w:r>
      <w:r w:rsidRPr="00B10C4D">
        <w:rPr>
          <w:rFonts w:ascii="Calibri" w:hAnsi="Calibri" w:cs="Calibri"/>
          <w:lang w:val="en-US"/>
        </w:rPr>
        <w:t>prema emitent</w:t>
      </w:r>
      <w:r w:rsidR="00B10C4D">
        <w:rPr>
          <w:rFonts w:ascii="Calibri" w:hAnsi="Calibri" w:cs="Calibri"/>
          <w:lang w:val="en-US"/>
        </w:rPr>
        <w:t>u Telekom Srpske a.d. Banja Luka</w:t>
      </w:r>
      <w:r w:rsidR="00C57530">
        <w:rPr>
          <w:rFonts w:ascii="Calibri" w:hAnsi="Calibri" w:cs="Calibri"/>
          <w:lang w:val="en-US"/>
        </w:rPr>
        <w:t>,</w:t>
      </w:r>
      <w:r w:rsidR="00B10C4D">
        <w:rPr>
          <w:rFonts w:ascii="Calibri" w:hAnsi="Calibri" w:cs="Calibri"/>
          <w:lang w:val="en-US"/>
        </w:rPr>
        <w:t xml:space="preserve"> koji čini </w:t>
      </w:r>
      <w:r w:rsidR="0045650F">
        <w:rPr>
          <w:rFonts w:ascii="Calibri" w:hAnsi="Calibri" w:cs="Calibri"/>
          <w:lang w:val="en-US"/>
        </w:rPr>
        <w:t>28</w:t>
      </w:r>
      <w:r w:rsidR="00DD7BA2">
        <w:rPr>
          <w:rFonts w:ascii="Calibri" w:hAnsi="Calibri" w:cs="Calibri"/>
          <w:lang w:val="en-US"/>
        </w:rPr>
        <w:t>,</w:t>
      </w:r>
      <w:r w:rsidR="0045650F">
        <w:rPr>
          <w:rFonts w:ascii="Calibri" w:hAnsi="Calibri" w:cs="Calibri"/>
          <w:lang w:val="en-US"/>
        </w:rPr>
        <w:t>20</w:t>
      </w:r>
      <w:r w:rsidR="00B10C4D">
        <w:rPr>
          <w:rFonts w:ascii="Calibri" w:hAnsi="Calibri" w:cs="Calibri"/>
          <w:lang w:val="en-US"/>
        </w:rPr>
        <w:t>% neto vrijednosti imovine Fonda</w:t>
      </w:r>
      <w:r w:rsidR="00070289">
        <w:rPr>
          <w:rFonts w:ascii="Calibri" w:hAnsi="Calibri" w:cs="Calibri"/>
          <w:lang w:val="en-US"/>
        </w:rPr>
        <w:t xml:space="preserve"> te zbog rasta cijene akcija na berzi</w:t>
      </w:r>
      <w:r w:rsidR="0045650F">
        <w:rPr>
          <w:rFonts w:ascii="Calibri" w:hAnsi="Calibri" w:cs="Calibri"/>
          <w:lang w:val="en-US"/>
        </w:rPr>
        <w:t xml:space="preserve"> i nešto većeg odliva novčanih sredstava iz Fonda zbog isplate vlasnicima udjela, 11,92</w:t>
      </w:r>
      <w:r w:rsidR="00070289">
        <w:rPr>
          <w:rFonts w:ascii="Calibri" w:hAnsi="Calibri" w:cs="Calibri"/>
          <w:lang w:val="en-US"/>
        </w:rPr>
        <w:t xml:space="preserve"> % neto vrijednosti imovine je ulaganje u </w:t>
      </w:r>
      <w:r w:rsidR="00070289" w:rsidRPr="00070289">
        <w:rPr>
          <w:rFonts w:ascii="Calibri" w:hAnsi="Calibri" w:cs="Calibri"/>
          <w:lang w:val="en-US"/>
        </w:rPr>
        <w:t>Hidroelektrane na</w:t>
      </w:r>
      <w:r w:rsidR="0045650F" w:rsidRPr="0045650F">
        <w:rPr>
          <w:rFonts w:ascii="Calibri" w:hAnsi="Calibri" w:cs="Calibri"/>
          <w:lang w:val="en-US"/>
        </w:rPr>
        <w:t xml:space="preserve"> </w:t>
      </w:r>
      <w:r w:rsidR="0045650F" w:rsidRPr="00070289">
        <w:rPr>
          <w:rFonts w:ascii="Calibri" w:hAnsi="Calibri" w:cs="Calibri"/>
          <w:lang w:val="en-US"/>
        </w:rPr>
        <w:t>Drini a.d. Višegrad</w:t>
      </w:r>
      <w:r w:rsidR="00070289" w:rsidRPr="00070289">
        <w:rPr>
          <w:rFonts w:ascii="Calibri" w:hAnsi="Calibri" w:cs="Calibri"/>
          <w:lang w:val="en-US"/>
        </w:rPr>
        <w:t xml:space="preserve"> </w:t>
      </w:r>
      <w:r w:rsidR="00070289">
        <w:rPr>
          <w:rFonts w:ascii="Calibri" w:hAnsi="Calibri" w:cs="Calibri"/>
          <w:lang w:val="en-US"/>
        </w:rPr>
        <w:t xml:space="preserve">i </w:t>
      </w:r>
      <w:r w:rsidR="0045650F">
        <w:rPr>
          <w:rFonts w:ascii="Calibri" w:hAnsi="Calibri" w:cs="Calibri"/>
          <w:lang w:val="en-US"/>
        </w:rPr>
        <w:t>11</w:t>
      </w:r>
      <w:r w:rsidR="00FD77B3">
        <w:rPr>
          <w:rFonts w:ascii="Calibri" w:hAnsi="Calibri" w:cs="Calibri"/>
          <w:lang w:val="en-US"/>
        </w:rPr>
        <w:t xml:space="preserve">,48 % neto vrijednosti imovine </w:t>
      </w:r>
      <w:r w:rsidR="00070289" w:rsidRPr="00070289">
        <w:rPr>
          <w:rFonts w:ascii="Calibri" w:hAnsi="Calibri" w:cs="Calibri"/>
          <w:lang w:val="en-US"/>
        </w:rPr>
        <w:t>Hidroelektrane na</w:t>
      </w:r>
      <w:r w:rsidR="0045650F" w:rsidRPr="0045650F">
        <w:t xml:space="preserve"> </w:t>
      </w:r>
      <w:r w:rsidR="0045650F" w:rsidRPr="0045650F">
        <w:rPr>
          <w:rFonts w:ascii="Calibri" w:hAnsi="Calibri" w:cs="Calibri"/>
          <w:lang w:val="en-US"/>
        </w:rPr>
        <w:t>Trebišnjici a.d. Trebinje</w:t>
      </w:r>
      <w:r w:rsidR="00B10C4D" w:rsidRPr="0045650F">
        <w:rPr>
          <w:rFonts w:ascii="Calibri" w:hAnsi="Calibri" w:cs="Calibri"/>
          <w:lang w:val="en-US"/>
        </w:rPr>
        <w:t>.</w:t>
      </w:r>
      <w:r w:rsidR="00B10C4D">
        <w:rPr>
          <w:rFonts w:ascii="Calibri" w:hAnsi="Calibri" w:cs="Calibri"/>
          <w:lang w:val="en-US"/>
        </w:rPr>
        <w:t xml:space="preserve"> </w:t>
      </w:r>
      <w:r w:rsidR="00070289">
        <w:rPr>
          <w:rFonts w:ascii="Calibri" w:hAnsi="Calibri" w:cs="Calibri"/>
          <w:lang w:val="en-US"/>
        </w:rPr>
        <w:t>Sa izuzetkom ove tri hartije</w:t>
      </w:r>
      <w:r w:rsidR="001C1C35">
        <w:rPr>
          <w:rFonts w:ascii="Calibri" w:hAnsi="Calibri" w:cs="Calibri"/>
          <w:lang w:val="en-US"/>
        </w:rPr>
        <w:t>, možemo reći da je po</w:t>
      </w:r>
      <w:r w:rsidR="005E7D3F">
        <w:rPr>
          <w:rFonts w:ascii="Calibri" w:hAnsi="Calibri" w:cs="Calibri"/>
          <w:lang w:val="en-US"/>
        </w:rPr>
        <w:t>rt</w:t>
      </w:r>
      <w:r w:rsidR="001C1C35">
        <w:rPr>
          <w:rFonts w:ascii="Calibri" w:hAnsi="Calibri" w:cs="Calibri"/>
          <w:lang w:val="en-US"/>
        </w:rPr>
        <w:t xml:space="preserve">felj Fonda dobro diverzifikovan, imajući u vidu da nema drugih emitenata sa dominantnim učešćem u portfelju. </w:t>
      </w:r>
      <w:r w:rsidR="00B10C4D">
        <w:rPr>
          <w:rFonts w:ascii="Calibri" w:hAnsi="Calibri" w:cs="Calibri"/>
          <w:lang w:val="en-US"/>
        </w:rPr>
        <w:t>Posmatrajući prema tržištima</w:t>
      </w:r>
      <w:r w:rsidR="001C1C35">
        <w:rPr>
          <w:rFonts w:ascii="Calibri" w:hAnsi="Calibri" w:cs="Calibri"/>
          <w:lang w:val="en-US"/>
        </w:rPr>
        <w:t>,</w:t>
      </w:r>
      <w:r w:rsidR="00C57530">
        <w:rPr>
          <w:rFonts w:ascii="Calibri" w:hAnsi="Calibri" w:cs="Calibri"/>
          <w:lang w:val="en-US"/>
        </w:rPr>
        <w:t xml:space="preserve"> </w:t>
      </w:r>
      <w:r w:rsidR="00B10C4D">
        <w:rPr>
          <w:rFonts w:ascii="Calibri" w:hAnsi="Calibri" w:cs="Calibri"/>
          <w:lang w:val="en-US"/>
        </w:rPr>
        <w:t>najveća izloženost je prema tržištu Republike Srpske,</w:t>
      </w:r>
      <w:r w:rsidR="00DD7BA2">
        <w:rPr>
          <w:rFonts w:ascii="Calibri" w:hAnsi="Calibri" w:cs="Calibri"/>
          <w:lang w:val="en-US"/>
        </w:rPr>
        <w:t xml:space="preserve"> a </w:t>
      </w:r>
      <w:r w:rsidR="00A7279E">
        <w:rPr>
          <w:rFonts w:ascii="Calibri" w:hAnsi="Calibri" w:cs="Calibri"/>
          <w:lang w:val="en-US"/>
        </w:rPr>
        <w:t xml:space="preserve">slijede </w:t>
      </w:r>
      <w:r w:rsidR="00B10C4D">
        <w:rPr>
          <w:rFonts w:ascii="Calibri" w:hAnsi="Calibri" w:cs="Calibri"/>
          <w:lang w:val="en-US"/>
        </w:rPr>
        <w:t>Njema</w:t>
      </w:r>
      <w:r w:rsidR="001B77E4">
        <w:rPr>
          <w:rFonts w:ascii="Calibri" w:hAnsi="Calibri" w:cs="Calibri"/>
          <w:lang w:val="en-US"/>
        </w:rPr>
        <w:t>č</w:t>
      </w:r>
      <w:r w:rsidR="00427C42">
        <w:rPr>
          <w:rFonts w:ascii="Calibri" w:hAnsi="Calibri" w:cs="Calibri"/>
          <w:lang w:val="en-US"/>
        </w:rPr>
        <w:t>k</w:t>
      </w:r>
      <w:r w:rsidR="00A7279E">
        <w:rPr>
          <w:rFonts w:ascii="Calibri" w:hAnsi="Calibri" w:cs="Calibri"/>
          <w:lang w:val="en-US"/>
        </w:rPr>
        <w:t>a</w:t>
      </w:r>
      <w:r w:rsidR="00070289">
        <w:rPr>
          <w:rFonts w:ascii="Calibri" w:hAnsi="Calibri" w:cs="Calibri"/>
          <w:lang w:val="en-US"/>
        </w:rPr>
        <w:t>, SAD</w:t>
      </w:r>
      <w:r w:rsidR="00A7279E">
        <w:rPr>
          <w:rFonts w:ascii="Calibri" w:hAnsi="Calibri" w:cs="Calibri"/>
          <w:lang w:val="en-US"/>
        </w:rPr>
        <w:t xml:space="preserve"> </w:t>
      </w:r>
      <w:r w:rsidR="00834FDD">
        <w:rPr>
          <w:rFonts w:ascii="Calibri" w:hAnsi="Calibri" w:cs="Calibri"/>
          <w:lang w:val="en-US"/>
        </w:rPr>
        <w:t>i zemlje regiona</w:t>
      </w:r>
      <w:r w:rsidR="00DD7BA2">
        <w:rPr>
          <w:rFonts w:ascii="Calibri" w:hAnsi="Calibri" w:cs="Calibri"/>
          <w:lang w:val="en-US"/>
        </w:rPr>
        <w:t>.</w:t>
      </w:r>
    </w:p>
    <w:p w:rsidR="00D33A51" w:rsidRDefault="00D33A51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A940FE" w:rsidRDefault="00A940FE" w:rsidP="00B10C4D">
      <w:pPr>
        <w:jc w:val="both"/>
        <w:rPr>
          <w:rFonts w:ascii="Calibri" w:hAnsi="Calibri" w:cs="Calibri"/>
          <w:lang w:val="en-US"/>
        </w:rPr>
      </w:pPr>
    </w:p>
    <w:p w:rsidR="001B77E4" w:rsidRDefault="001B77E4" w:rsidP="00B10C4D">
      <w:pPr>
        <w:jc w:val="both"/>
        <w:rPr>
          <w:rFonts w:ascii="Calibri" w:hAnsi="Calibri" w:cs="Calibri"/>
          <w:lang w:val="en-US"/>
        </w:rPr>
      </w:pPr>
    </w:p>
    <w:p w:rsidR="00052AF4" w:rsidRPr="00857275" w:rsidRDefault="00052AF4" w:rsidP="00052AF4">
      <w:pPr>
        <w:numPr>
          <w:ilvl w:val="0"/>
          <w:numId w:val="7"/>
        </w:numPr>
        <w:rPr>
          <w:rFonts w:ascii="Calibri" w:hAnsi="Calibri" w:cs="Calibri"/>
          <w:b/>
          <w:lang w:val="en-US"/>
        </w:rPr>
      </w:pPr>
      <w:r w:rsidRPr="00857275">
        <w:rPr>
          <w:rFonts w:ascii="Calibri" w:hAnsi="Calibri" w:cs="Calibri"/>
          <w:b/>
          <w:lang w:val="en-US"/>
        </w:rPr>
        <w:lastRenderedPageBreak/>
        <w:t>Bilansni pokazatelji</w:t>
      </w:r>
    </w:p>
    <w:p w:rsidR="00052AF4" w:rsidRPr="00A21829" w:rsidRDefault="00052AF4" w:rsidP="00052AF4">
      <w:pPr>
        <w:rPr>
          <w:rFonts w:ascii="Calibri" w:hAnsi="Calibri" w:cs="Calibri"/>
          <w:b/>
          <w:lang w:val="en-US"/>
        </w:rPr>
      </w:pPr>
    </w:p>
    <w:p w:rsidR="00052AF4" w:rsidRDefault="00052AF4" w:rsidP="00052AF4">
      <w:pPr>
        <w:numPr>
          <w:ilvl w:val="1"/>
          <w:numId w:val="7"/>
        </w:numPr>
        <w:rPr>
          <w:rFonts w:ascii="Calibri" w:hAnsi="Calibri" w:cs="Calibri"/>
          <w:lang w:val="en-US"/>
        </w:rPr>
      </w:pPr>
      <w:r w:rsidRPr="00FE6CEA">
        <w:rPr>
          <w:rFonts w:ascii="Calibri" w:hAnsi="Calibri" w:cs="Calibri"/>
          <w:lang w:val="en-US"/>
        </w:rPr>
        <w:t>Bilans uspjeha za period</w:t>
      </w:r>
      <w:r w:rsidR="003566AC">
        <w:rPr>
          <w:rFonts w:ascii="Calibri" w:hAnsi="Calibri" w:cs="Calibri"/>
          <w:lang w:val="en-US"/>
        </w:rPr>
        <w:t xml:space="preserve"> 01.01.202</w:t>
      </w:r>
      <w:r w:rsidR="007739AB">
        <w:rPr>
          <w:rFonts w:ascii="Calibri" w:hAnsi="Calibri" w:cs="Calibri"/>
          <w:lang w:val="en-US"/>
        </w:rPr>
        <w:t>2.</w:t>
      </w:r>
      <w:r w:rsidRPr="00A21829">
        <w:rPr>
          <w:rFonts w:ascii="Calibri" w:hAnsi="Calibri" w:cs="Calibri"/>
          <w:lang w:val="en-US"/>
        </w:rPr>
        <w:t>-3</w:t>
      </w:r>
      <w:r w:rsidR="005977AF">
        <w:rPr>
          <w:rFonts w:ascii="Calibri" w:hAnsi="Calibri" w:cs="Calibri"/>
          <w:lang w:val="en-US"/>
        </w:rPr>
        <w:t>0</w:t>
      </w:r>
      <w:r w:rsidRPr="00A21829">
        <w:rPr>
          <w:rFonts w:ascii="Calibri" w:hAnsi="Calibri" w:cs="Calibri"/>
          <w:lang w:val="en-US"/>
        </w:rPr>
        <w:t>.</w:t>
      </w:r>
      <w:r w:rsidR="003566AC">
        <w:rPr>
          <w:rFonts w:ascii="Calibri" w:hAnsi="Calibri" w:cs="Calibri"/>
          <w:lang w:val="en-US"/>
        </w:rPr>
        <w:t>0</w:t>
      </w:r>
      <w:r w:rsidR="005977AF">
        <w:rPr>
          <w:rFonts w:ascii="Calibri" w:hAnsi="Calibri" w:cs="Calibri"/>
          <w:lang w:val="en-US"/>
        </w:rPr>
        <w:t>6</w:t>
      </w:r>
      <w:r w:rsidR="003566AC">
        <w:rPr>
          <w:rFonts w:ascii="Calibri" w:hAnsi="Calibri" w:cs="Calibri"/>
          <w:lang w:val="en-US"/>
        </w:rPr>
        <w:t>.202</w:t>
      </w:r>
      <w:r w:rsidR="007739AB">
        <w:rPr>
          <w:rFonts w:ascii="Calibri" w:hAnsi="Calibri" w:cs="Calibri"/>
          <w:lang w:val="en-US"/>
        </w:rPr>
        <w:t>2</w:t>
      </w:r>
      <w:r w:rsidRPr="00A21829">
        <w:rPr>
          <w:rFonts w:ascii="Calibri" w:hAnsi="Calibri" w:cs="Calibri"/>
          <w:lang w:val="en-US"/>
        </w:rPr>
        <w:t>.</w:t>
      </w:r>
    </w:p>
    <w:p w:rsidR="00A25B1F" w:rsidRDefault="00A25B1F" w:rsidP="00A25B1F">
      <w:pPr>
        <w:rPr>
          <w:rFonts w:ascii="Calibri" w:hAnsi="Calibri" w:cs="Calibri"/>
          <w:lang w:val="en-US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740"/>
        <w:gridCol w:w="1780"/>
        <w:gridCol w:w="1460"/>
        <w:gridCol w:w="1540"/>
      </w:tblGrid>
      <w:tr w:rsidR="00A25B1F" w:rsidTr="000A68BF">
        <w:trPr>
          <w:trHeight w:val="525"/>
        </w:trPr>
        <w:tc>
          <w:tcPr>
            <w:tcW w:w="47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A25B1F" w:rsidRDefault="00A25B1F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Pozicija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A25B1F" w:rsidRDefault="00A25B1F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Tekuća godina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A25B1F" w:rsidRDefault="00A25B1F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Prethodna godina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A25B1F" w:rsidRDefault="00A25B1F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Indeks (2/3)*100</w:t>
            </w:r>
          </w:p>
        </w:tc>
      </w:tr>
      <w:tr w:rsidR="00A25B1F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25B1F" w:rsidRDefault="00A25B1F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25B1F" w:rsidRDefault="00A25B1F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25B1F" w:rsidRDefault="00A25B1F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A25B1F" w:rsidRDefault="00A25B1F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25B1F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B1F" w:rsidRDefault="00A25B1F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REALIZOVANI PRIHODI I RASHODI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B1F" w:rsidRDefault="00A25B1F" w:rsidP="000A68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B1F" w:rsidRDefault="00A25B1F" w:rsidP="000A68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B1F" w:rsidRDefault="00A25B1F" w:rsidP="000A68BF">
            <w:pPr>
              <w:rPr>
                <w:color w:val="000000"/>
                <w:sz w:val="20"/>
                <w:szCs w:val="20"/>
              </w:rPr>
            </w:pP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Poslovni prihodi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402.735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426.967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Prihodi od dividendi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327.195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170.570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Pr="006B3002" w:rsidRDefault="006B3002" w:rsidP="000A68B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B300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191</w:t>
            </w:r>
            <w:r w:rsidR="00EB7B35" w:rsidRPr="006B300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 w:rsidRPr="006B300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82</w:t>
            </w:r>
            <w:r w:rsidR="00EB7B35" w:rsidRPr="006B300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Prihodi od kamata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51.940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69.866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Pr="006B3002" w:rsidRDefault="006B3002" w:rsidP="000A68B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74</w:t>
            </w:r>
            <w:r w:rsidR="00EB7B35" w:rsidRPr="006B300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34</w:t>
            </w:r>
            <w:r w:rsidR="00EB7B35" w:rsidRPr="006B3002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51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Amortizacija premije (diskonta) po osnovu HOV sa fiksnim r. dospi.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Ostali poslovni prihodi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154.381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EB7B35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Realizovani dobitak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22.750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1.356.777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51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Realizovani dobitak po osnovu prodaje hartija od vrijednosti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18.833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1.325.628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Realizovani dobici po osnovu kursnih razlika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31.149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Ostali realizovani dobici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Poslovni rashodi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1.053.525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994.592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Naknada društvu za upravljanje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1.040.544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940.760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Troškovi kupovine i prodaje ulaganja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12.981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53.832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6B3002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Realizovani gubitak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9.882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26.140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4222A3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Realizovani gubici na prodaji hartija od vrijednosti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5.804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4222A3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-Realizovani gubici po osnovu kursnih razlika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20.336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4222A3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-Ostali realizovani gubici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EB7B35" w:rsidP="000A68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</w:t>
            </w:r>
            <w:r w:rsidR="004222A3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Realizovani dobitak/gubitak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EB7B35" w:rsidRDefault="00EB7B35" w:rsidP="00EB7B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-637.922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763.012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4222A3" w:rsidP="000A6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Nerealizovani dobici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B35" w:rsidRDefault="00EB7B35" w:rsidP="000A68B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25.483.174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EB7B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9.518.662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4222A3" w:rsidP="00EB7B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Nerealizovani gubici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</w:tcPr>
          <w:p w:rsidR="00EB7B35" w:rsidRDefault="00EB7B35" w:rsidP="00EB7B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22.464.115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EB7B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8.042.857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Default="004222A3" w:rsidP="00EB7B3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EB7B35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Ukupni nerealizovani gubitak/dobitak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B35" w:rsidRDefault="00EB7B35" w:rsidP="00EB7B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3.019.059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EB7B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1.475.805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Pr="001C6B18" w:rsidRDefault="004222A3" w:rsidP="00EB7B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204</w:t>
            </w:r>
            <w:r w:rsidR="00EB7B35" w:rsidRPr="001C6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  <w:r w:rsidR="00EB7B35" w:rsidRPr="001C6B1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EB7B35" w:rsidRPr="00B4548B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Pr="00B4548B" w:rsidRDefault="00EB7B35" w:rsidP="000A68B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548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 Ukupna dobit/gubitak prije oporezivanja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</w:tcPr>
          <w:p w:rsidR="00EB7B35" w:rsidRPr="00B4548B" w:rsidRDefault="00EB7B35" w:rsidP="00EB7B35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2.381.137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Pr="00B4548B" w:rsidRDefault="00EB7B35" w:rsidP="00EB7B35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2.238.817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Pr="00B4548B" w:rsidRDefault="004222A3" w:rsidP="00EB7B35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RPr="00B4548B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Pr="00B4548B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4548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B4548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Ukupna dobit/gubitak poslije oporezivanja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B35" w:rsidRPr="00B4548B" w:rsidRDefault="00EB7B35" w:rsidP="000A68BF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2.381.137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B35" w:rsidRPr="00B4548B" w:rsidRDefault="00EB7B35" w:rsidP="000A68BF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2.238.817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Pr="00B4548B" w:rsidRDefault="004222A3" w:rsidP="000A68BF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Povećanje/Smanjenje neto imovine fonda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</w:tcPr>
          <w:p w:rsidR="00EB7B35" w:rsidRPr="00B4548B" w:rsidRDefault="00EB7B35" w:rsidP="000A68BF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2.381.137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B7B35" w:rsidRPr="00B4548B" w:rsidRDefault="00EB7B35" w:rsidP="000A68BF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2.238.817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B7B35" w:rsidRPr="00B4548B" w:rsidRDefault="004222A3" w:rsidP="000A68BF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7B35" w:rsidTr="000A68BF">
        <w:trPr>
          <w:trHeight w:val="315"/>
        </w:trPr>
        <w:tc>
          <w:tcPr>
            <w:tcW w:w="47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0A68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Obična zarada po udjelu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EB7B35" w:rsidRDefault="00EB7B35" w:rsidP="00EB7B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0.5835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B7B35" w:rsidRDefault="00EB7B35" w:rsidP="00EB7B3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0,5032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EB7B35" w:rsidRDefault="004222A3" w:rsidP="00EB7B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  <w:r w:rsid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A25B1F" w:rsidRDefault="00A25B1F" w:rsidP="00A25B1F">
      <w:pPr>
        <w:rPr>
          <w:rFonts w:ascii="Calibri" w:hAnsi="Calibri" w:cs="Calibri"/>
          <w:lang w:val="en-US"/>
        </w:rPr>
      </w:pPr>
    </w:p>
    <w:p w:rsidR="00052AF4" w:rsidRPr="006B3002" w:rsidRDefault="00052AF4" w:rsidP="00052AF4">
      <w:pPr>
        <w:jc w:val="both"/>
        <w:rPr>
          <w:rFonts w:ascii="Calibri" w:hAnsi="Calibri" w:cs="Calibri"/>
          <w:lang w:val="en-US"/>
        </w:rPr>
      </w:pPr>
      <w:r w:rsidRPr="006B3002">
        <w:rPr>
          <w:rFonts w:ascii="Calibri" w:hAnsi="Calibri" w:cs="Calibri"/>
          <w:lang w:val="en-US"/>
        </w:rPr>
        <w:t xml:space="preserve">U </w:t>
      </w:r>
      <w:r w:rsidR="000A68BF">
        <w:rPr>
          <w:rFonts w:ascii="Calibri" w:hAnsi="Calibri" w:cs="Calibri"/>
          <w:lang w:val="en-US"/>
        </w:rPr>
        <w:t>prvoj polovini</w:t>
      </w:r>
      <w:r w:rsidR="003E2C60" w:rsidRPr="006B3002">
        <w:rPr>
          <w:rFonts w:ascii="Calibri" w:hAnsi="Calibri" w:cs="Calibri"/>
          <w:lang w:val="en-US"/>
        </w:rPr>
        <w:t xml:space="preserve"> 202</w:t>
      </w:r>
      <w:r w:rsidR="000A68BF">
        <w:rPr>
          <w:rFonts w:ascii="Calibri" w:hAnsi="Calibri" w:cs="Calibri"/>
          <w:lang w:val="en-US"/>
        </w:rPr>
        <w:t>2</w:t>
      </w:r>
      <w:r w:rsidR="00012CE6" w:rsidRPr="006B3002">
        <w:rPr>
          <w:rFonts w:ascii="Calibri" w:hAnsi="Calibri" w:cs="Calibri"/>
          <w:lang w:val="en-US"/>
        </w:rPr>
        <w:t>.godine</w:t>
      </w:r>
      <w:r w:rsidRPr="006B3002">
        <w:rPr>
          <w:rFonts w:ascii="Calibri" w:hAnsi="Calibri" w:cs="Calibri"/>
          <w:lang w:val="en-US"/>
        </w:rPr>
        <w:t xml:space="preserve"> poslovni prihodi Fonda iznose </w:t>
      </w:r>
      <w:r w:rsidR="00002CC0" w:rsidRPr="006B3002">
        <w:rPr>
          <w:rFonts w:ascii="Calibri" w:hAnsi="Calibri" w:cs="Calibri"/>
          <w:lang w:val="en-US"/>
        </w:rPr>
        <w:t>402</w:t>
      </w:r>
      <w:r w:rsidR="003E2C60" w:rsidRPr="006B3002">
        <w:rPr>
          <w:rFonts w:ascii="Calibri" w:hAnsi="Calibri" w:cs="Calibri"/>
          <w:lang w:val="en-US"/>
        </w:rPr>
        <w:t>.</w:t>
      </w:r>
      <w:r w:rsidR="00002CC0" w:rsidRPr="006B3002">
        <w:rPr>
          <w:rFonts w:ascii="Calibri" w:hAnsi="Calibri" w:cs="Calibri"/>
          <w:lang w:val="en-US"/>
        </w:rPr>
        <w:t>735</w:t>
      </w:r>
      <w:r w:rsidR="00C57530" w:rsidRPr="006B3002">
        <w:rPr>
          <w:rFonts w:ascii="Calibri" w:hAnsi="Calibri" w:cs="Calibri"/>
          <w:lang w:val="en-US"/>
        </w:rPr>
        <w:t xml:space="preserve"> </w:t>
      </w:r>
      <w:r w:rsidRPr="006B3002">
        <w:rPr>
          <w:rFonts w:ascii="Calibri" w:hAnsi="Calibri" w:cs="Calibri"/>
          <w:lang w:val="en-US"/>
        </w:rPr>
        <w:t>KM</w:t>
      </w:r>
      <w:r w:rsidR="00002CC0" w:rsidRPr="006B3002">
        <w:rPr>
          <w:rFonts w:ascii="Calibri" w:hAnsi="Calibri" w:cs="Calibri"/>
          <w:lang w:val="en-US"/>
        </w:rPr>
        <w:t xml:space="preserve"> a najveći dio, to jest 81%, </w:t>
      </w:r>
      <w:r w:rsidR="003E2C60" w:rsidRPr="006B3002">
        <w:rPr>
          <w:rFonts w:ascii="Calibri" w:hAnsi="Calibri" w:cs="Calibri"/>
          <w:lang w:val="en-US"/>
        </w:rPr>
        <w:t xml:space="preserve">se odnosi na </w:t>
      </w:r>
      <w:r w:rsidR="00002CC0" w:rsidRPr="006B3002">
        <w:rPr>
          <w:rFonts w:ascii="Calibri" w:hAnsi="Calibri" w:cs="Calibri"/>
          <w:lang w:val="en-US"/>
        </w:rPr>
        <w:t>p</w:t>
      </w:r>
      <w:r w:rsidR="003E2C60" w:rsidRPr="006B3002">
        <w:rPr>
          <w:rFonts w:ascii="Calibri" w:hAnsi="Calibri" w:cs="Calibri"/>
          <w:lang w:val="en-US"/>
        </w:rPr>
        <w:t>rihode</w:t>
      </w:r>
      <w:r w:rsidR="00002CC0" w:rsidRPr="006B3002">
        <w:rPr>
          <w:rFonts w:ascii="Calibri" w:hAnsi="Calibri" w:cs="Calibri"/>
          <w:lang w:val="en-US"/>
        </w:rPr>
        <w:t xml:space="preserve"> od dividendi</w:t>
      </w:r>
      <w:r w:rsidR="003E2C60" w:rsidRPr="006B3002">
        <w:rPr>
          <w:rFonts w:ascii="Calibri" w:hAnsi="Calibri" w:cs="Calibri"/>
          <w:lang w:val="en-US"/>
        </w:rPr>
        <w:t>.</w:t>
      </w:r>
      <w:r w:rsidR="00427C42" w:rsidRPr="006B3002">
        <w:rPr>
          <w:rFonts w:ascii="Calibri" w:hAnsi="Calibri" w:cs="Calibri"/>
          <w:lang w:val="en-US"/>
        </w:rPr>
        <w:t xml:space="preserve"> </w:t>
      </w:r>
      <w:r w:rsidR="00002CC0" w:rsidRPr="006B3002">
        <w:rPr>
          <w:rFonts w:ascii="Calibri" w:hAnsi="Calibri" w:cs="Calibri"/>
          <w:lang w:val="en-US"/>
        </w:rPr>
        <w:t>P</w:t>
      </w:r>
      <w:r w:rsidR="003E2C60" w:rsidRPr="006B3002">
        <w:rPr>
          <w:rFonts w:ascii="Calibri" w:hAnsi="Calibri" w:cs="Calibri"/>
          <w:lang w:val="en-US"/>
        </w:rPr>
        <w:t>rihodi</w:t>
      </w:r>
      <w:r w:rsidR="00960BFD" w:rsidRPr="006B3002">
        <w:rPr>
          <w:rFonts w:ascii="Calibri" w:hAnsi="Calibri" w:cs="Calibri"/>
          <w:lang w:val="en-US"/>
        </w:rPr>
        <w:t xml:space="preserve"> </w:t>
      </w:r>
      <w:r w:rsidR="00AE59CD" w:rsidRPr="006B3002">
        <w:rPr>
          <w:rFonts w:ascii="Calibri" w:hAnsi="Calibri" w:cs="Calibri"/>
          <w:lang w:val="en-US"/>
        </w:rPr>
        <w:t>od kamata i amortizacije po osnovu hartija sa fiksnim rokom dospijeća</w:t>
      </w:r>
      <w:r w:rsidR="003E2C60" w:rsidRPr="006B3002">
        <w:rPr>
          <w:rFonts w:ascii="Calibri" w:hAnsi="Calibri" w:cs="Calibri"/>
          <w:lang w:val="en-US"/>
        </w:rPr>
        <w:t xml:space="preserve"> u </w:t>
      </w:r>
      <w:r w:rsidR="00875889">
        <w:rPr>
          <w:rFonts w:ascii="Calibri" w:hAnsi="Calibri" w:cs="Calibri"/>
          <w:lang w:val="en-US"/>
        </w:rPr>
        <w:t>izvještajnom periodu</w:t>
      </w:r>
      <w:r w:rsidR="00002CC0" w:rsidRPr="006B3002">
        <w:rPr>
          <w:rFonts w:ascii="Calibri" w:hAnsi="Calibri" w:cs="Calibri"/>
          <w:lang w:val="en-US"/>
        </w:rPr>
        <w:t xml:space="preserve"> su</w:t>
      </w:r>
      <w:r w:rsidR="003E2C60" w:rsidRPr="006B3002">
        <w:rPr>
          <w:rFonts w:ascii="Calibri" w:hAnsi="Calibri" w:cs="Calibri"/>
          <w:lang w:val="en-US"/>
        </w:rPr>
        <w:t xml:space="preserve"> manji u poređenju sa istim periodom prethodne godine te su ukupni p</w:t>
      </w:r>
      <w:r w:rsidR="00012CE6" w:rsidRPr="006B3002">
        <w:rPr>
          <w:rFonts w:ascii="Calibri" w:hAnsi="Calibri" w:cs="Calibri"/>
          <w:lang w:val="en-US"/>
        </w:rPr>
        <w:t>oslov</w:t>
      </w:r>
      <w:r w:rsidR="003E2C60" w:rsidRPr="006B3002">
        <w:rPr>
          <w:rFonts w:ascii="Calibri" w:hAnsi="Calibri" w:cs="Calibri"/>
          <w:lang w:val="en-US"/>
        </w:rPr>
        <w:t>ni prihodi u prvo</w:t>
      </w:r>
      <w:r w:rsidR="00002CC0" w:rsidRPr="006B3002">
        <w:rPr>
          <w:rFonts w:ascii="Calibri" w:hAnsi="Calibri" w:cs="Calibri"/>
          <w:lang w:val="en-US"/>
        </w:rPr>
        <w:t>j</w:t>
      </w:r>
      <w:r w:rsidR="003E2C60" w:rsidRPr="006B3002">
        <w:rPr>
          <w:rFonts w:ascii="Calibri" w:hAnsi="Calibri" w:cs="Calibri"/>
          <w:lang w:val="en-US"/>
        </w:rPr>
        <w:t xml:space="preserve"> </w:t>
      </w:r>
      <w:r w:rsidR="00002CC0" w:rsidRPr="006B3002">
        <w:rPr>
          <w:rFonts w:ascii="Calibri" w:hAnsi="Calibri" w:cs="Calibri"/>
          <w:lang w:val="en-US"/>
        </w:rPr>
        <w:t>polovini</w:t>
      </w:r>
      <w:r w:rsidR="003E2C60" w:rsidRPr="006B3002">
        <w:rPr>
          <w:rFonts w:ascii="Calibri" w:hAnsi="Calibri" w:cs="Calibri"/>
          <w:lang w:val="en-US"/>
        </w:rPr>
        <w:t xml:space="preserve"> 202</w:t>
      </w:r>
      <w:r w:rsidR="00002CC0" w:rsidRPr="006B3002">
        <w:rPr>
          <w:rFonts w:ascii="Calibri" w:hAnsi="Calibri" w:cs="Calibri"/>
          <w:lang w:val="en-US"/>
        </w:rPr>
        <w:t>2</w:t>
      </w:r>
      <w:r w:rsidR="00012CE6" w:rsidRPr="006B3002">
        <w:rPr>
          <w:rFonts w:ascii="Calibri" w:hAnsi="Calibri" w:cs="Calibri"/>
          <w:lang w:val="en-US"/>
        </w:rPr>
        <w:t>.godine</w:t>
      </w:r>
      <w:r w:rsidR="00FE6CEA" w:rsidRPr="006B3002">
        <w:rPr>
          <w:rFonts w:ascii="Calibri" w:hAnsi="Calibri" w:cs="Calibri"/>
          <w:lang w:val="en-US"/>
        </w:rPr>
        <w:t xml:space="preserve"> za </w:t>
      </w:r>
      <w:r w:rsidR="00002CC0" w:rsidRPr="006B3002">
        <w:rPr>
          <w:rFonts w:ascii="Calibri" w:hAnsi="Calibri" w:cs="Calibri"/>
          <w:lang w:val="en-US"/>
        </w:rPr>
        <w:t>5</w:t>
      </w:r>
      <w:r w:rsidR="003E2C60" w:rsidRPr="006B3002">
        <w:rPr>
          <w:rFonts w:ascii="Calibri" w:hAnsi="Calibri" w:cs="Calibri"/>
          <w:lang w:val="en-US"/>
        </w:rPr>
        <w:t>,</w:t>
      </w:r>
      <w:r w:rsidR="00002CC0" w:rsidRPr="006B3002">
        <w:rPr>
          <w:rFonts w:ascii="Calibri" w:hAnsi="Calibri" w:cs="Calibri"/>
          <w:lang w:val="en-US"/>
        </w:rPr>
        <w:t>7</w:t>
      </w:r>
      <w:r w:rsidR="003E2C60" w:rsidRPr="006B3002">
        <w:rPr>
          <w:rFonts w:ascii="Calibri" w:hAnsi="Calibri" w:cs="Calibri"/>
          <w:lang w:val="en-US"/>
        </w:rPr>
        <w:t>% manji</w:t>
      </w:r>
      <w:r w:rsidR="00FE6CEA" w:rsidRPr="006B3002">
        <w:rPr>
          <w:rFonts w:ascii="Calibri" w:hAnsi="Calibri" w:cs="Calibri"/>
          <w:lang w:val="en-US"/>
        </w:rPr>
        <w:t xml:space="preserve"> u odnosu na </w:t>
      </w:r>
      <w:r w:rsidR="00012CE6" w:rsidRPr="006B3002">
        <w:rPr>
          <w:rFonts w:ascii="Calibri" w:hAnsi="Calibri" w:cs="Calibri"/>
          <w:lang w:val="en-US"/>
        </w:rPr>
        <w:t>isti period prošle godine</w:t>
      </w:r>
      <w:r w:rsidR="003E2C60" w:rsidRPr="006B3002">
        <w:rPr>
          <w:rFonts w:ascii="Calibri" w:hAnsi="Calibri" w:cs="Calibri"/>
          <w:lang w:val="en-US"/>
        </w:rPr>
        <w:t>.</w:t>
      </w:r>
    </w:p>
    <w:p w:rsidR="00052AF4" w:rsidRPr="006B3002" w:rsidRDefault="00052AF4" w:rsidP="00052AF4">
      <w:pPr>
        <w:jc w:val="both"/>
        <w:rPr>
          <w:rFonts w:ascii="Calibri" w:hAnsi="Calibri" w:cs="Calibri"/>
          <w:lang w:val="en-US"/>
        </w:rPr>
      </w:pPr>
    </w:p>
    <w:p w:rsidR="00002CC0" w:rsidRPr="006B3002" w:rsidRDefault="00D33A51" w:rsidP="001B77E4">
      <w:pPr>
        <w:jc w:val="both"/>
        <w:rPr>
          <w:rFonts w:ascii="Calibri" w:hAnsi="Calibri" w:cs="Calibri"/>
          <w:lang w:val="en-US"/>
        </w:rPr>
      </w:pPr>
      <w:r w:rsidRPr="006B3002">
        <w:rPr>
          <w:rFonts w:ascii="Calibri" w:hAnsi="Calibri" w:cs="Calibri"/>
          <w:lang w:val="en-US"/>
        </w:rPr>
        <w:t>Poslovni r</w:t>
      </w:r>
      <w:r w:rsidR="00052AF4" w:rsidRPr="006B3002">
        <w:rPr>
          <w:rFonts w:ascii="Calibri" w:hAnsi="Calibri" w:cs="Calibri"/>
          <w:lang w:val="en-US"/>
        </w:rPr>
        <w:t xml:space="preserve">ashodi Fonda u </w:t>
      </w:r>
      <w:r w:rsidR="00002CC0" w:rsidRPr="006B3002">
        <w:rPr>
          <w:rFonts w:ascii="Calibri" w:hAnsi="Calibri" w:cs="Calibri"/>
          <w:lang w:val="en-US"/>
        </w:rPr>
        <w:t>prvoj polovini</w:t>
      </w:r>
      <w:r w:rsidR="00012CE6" w:rsidRPr="006B3002">
        <w:rPr>
          <w:rFonts w:ascii="Calibri" w:hAnsi="Calibri" w:cs="Calibri"/>
          <w:lang w:val="en-US"/>
        </w:rPr>
        <w:t xml:space="preserve"> tekuće godine</w:t>
      </w:r>
      <w:r w:rsidR="00052AF4" w:rsidRPr="006B3002">
        <w:rPr>
          <w:rFonts w:ascii="Calibri" w:hAnsi="Calibri" w:cs="Calibri"/>
          <w:lang w:val="en-US"/>
        </w:rPr>
        <w:t xml:space="preserve"> iznose </w:t>
      </w:r>
      <w:r w:rsidR="00002CC0" w:rsidRPr="006B3002">
        <w:rPr>
          <w:rFonts w:ascii="Calibri" w:hAnsi="Calibri" w:cs="Calibri"/>
          <w:lang w:val="en-US"/>
        </w:rPr>
        <w:t>1.053</w:t>
      </w:r>
      <w:r w:rsidR="003E2C60" w:rsidRPr="006B3002">
        <w:rPr>
          <w:rFonts w:ascii="Calibri" w:hAnsi="Calibri" w:cs="Calibri"/>
          <w:lang w:val="en-US"/>
        </w:rPr>
        <w:t>.</w:t>
      </w:r>
      <w:r w:rsidR="00002CC0" w:rsidRPr="006B3002">
        <w:rPr>
          <w:rFonts w:ascii="Calibri" w:hAnsi="Calibri" w:cs="Calibri"/>
          <w:lang w:val="en-US"/>
        </w:rPr>
        <w:t>525</w:t>
      </w:r>
      <w:r w:rsidR="003E2C60" w:rsidRPr="006B3002">
        <w:rPr>
          <w:rFonts w:ascii="Calibri" w:hAnsi="Calibri" w:cs="Calibri"/>
          <w:lang w:val="en-US"/>
        </w:rPr>
        <w:t xml:space="preserve"> </w:t>
      </w:r>
      <w:r w:rsidR="00052AF4" w:rsidRPr="006B3002">
        <w:rPr>
          <w:rFonts w:ascii="Calibri" w:hAnsi="Calibri" w:cs="Calibri"/>
          <w:lang w:val="en-US"/>
        </w:rPr>
        <w:t xml:space="preserve">KM, </w:t>
      </w:r>
      <w:r w:rsidR="00012CE6" w:rsidRPr="006B3002">
        <w:rPr>
          <w:rFonts w:ascii="Calibri" w:hAnsi="Calibri" w:cs="Calibri"/>
          <w:lang w:val="en-US"/>
        </w:rPr>
        <w:t>i</w:t>
      </w:r>
      <w:r w:rsidR="003E2C60" w:rsidRPr="006B3002">
        <w:rPr>
          <w:rFonts w:ascii="Calibri" w:hAnsi="Calibri" w:cs="Calibri"/>
          <w:lang w:val="en-US"/>
        </w:rPr>
        <w:t xml:space="preserve"> najvećim dijelom</w:t>
      </w:r>
      <w:r w:rsidR="00055F28" w:rsidRPr="006B3002">
        <w:rPr>
          <w:rFonts w:ascii="Calibri" w:hAnsi="Calibri" w:cs="Calibri"/>
          <w:lang w:val="en-US"/>
        </w:rPr>
        <w:t xml:space="preserve"> se odnose</w:t>
      </w:r>
      <w:r w:rsidR="00052AF4" w:rsidRPr="006B3002">
        <w:rPr>
          <w:rFonts w:ascii="Calibri" w:hAnsi="Calibri" w:cs="Calibri"/>
          <w:lang w:val="en-US"/>
        </w:rPr>
        <w:t xml:space="preserve"> na naknadu društvu za upra</w:t>
      </w:r>
      <w:r w:rsidR="00960BFD" w:rsidRPr="006B3002">
        <w:rPr>
          <w:rFonts w:ascii="Calibri" w:hAnsi="Calibri" w:cs="Calibri"/>
          <w:lang w:val="en-US"/>
        </w:rPr>
        <w:t>v</w:t>
      </w:r>
      <w:r w:rsidR="00012CE6" w:rsidRPr="006B3002">
        <w:rPr>
          <w:rFonts w:ascii="Calibri" w:hAnsi="Calibri" w:cs="Calibri"/>
          <w:lang w:val="en-US"/>
        </w:rPr>
        <w:t>ljanje</w:t>
      </w:r>
      <w:r w:rsidR="003E2C60" w:rsidRPr="006B3002">
        <w:rPr>
          <w:rFonts w:ascii="Calibri" w:hAnsi="Calibri" w:cs="Calibri"/>
          <w:lang w:val="en-US"/>
        </w:rPr>
        <w:t xml:space="preserve"> </w:t>
      </w:r>
      <w:r w:rsidR="00875889">
        <w:rPr>
          <w:rFonts w:ascii="Calibri" w:hAnsi="Calibri" w:cs="Calibri"/>
          <w:lang w:val="en-US"/>
        </w:rPr>
        <w:t>a ostatak na troškove kupovine i</w:t>
      </w:r>
      <w:r w:rsidR="003E2C60" w:rsidRPr="006B3002">
        <w:rPr>
          <w:rFonts w:ascii="Calibri" w:hAnsi="Calibri" w:cs="Calibri"/>
          <w:lang w:val="en-US"/>
        </w:rPr>
        <w:t xml:space="preserve"> prodaje ulaganja</w:t>
      </w:r>
      <w:r w:rsidR="00012CE6" w:rsidRPr="006B3002">
        <w:rPr>
          <w:rFonts w:ascii="Calibri" w:hAnsi="Calibri" w:cs="Calibri"/>
          <w:lang w:val="en-US"/>
        </w:rPr>
        <w:t>.</w:t>
      </w:r>
      <w:r w:rsidR="00932BEC" w:rsidRPr="006B3002">
        <w:t xml:space="preserve"> </w:t>
      </w:r>
      <w:r w:rsidR="00932BEC" w:rsidRPr="006B3002">
        <w:rPr>
          <w:rFonts w:ascii="Calibri" w:hAnsi="Calibri" w:cs="Calibri"/>
          <w:lang w:val="en-US"/>
        </w:rPr>
        <w:t>Neophodno napomenuti da je zbog promjene računovodstvenih standarda od 01.01.2021.</w:t>
      </w:r>
      <w:r w:rsidR="00875889">
        <w:rPr>
          <w:rFonts w:ascii="Calibri" w:hAnsi="Calibri" w:cs="Calibri"/>
          <w:lang w:val="en-US"/>
        </w:rPr>
        <w:t xml:space="preserve"> </w:t>
      </w:r>
      <w:r w:rsidR="00932BEC" w:rsidRPr="006B3002">
        <w:rPr>
          <w:rFonts w:ascii="Calibri" w:hAnsi="Calibri" w:cs="Calibri"/>
          <w:lang w:val="en-US"/>
        </w:rPr>
        <w:t>godine svi troškovi kupoprodaje akcija se terete na bilans uspjeha kao trošak jer se sva imovina fonda u akcijama klasifikuje po fer vrijednosti kroz bilans uspjeha.</w:t>
      </w:r>
      <w:r w:rsidR="00012CE6" w:rsidRPr="006B3002">
        <w:rPr>
          <w:rFonts w:ascii="Calibri" w:hAnsi="Calibri" w:cs="Calibri"/>
          <w:lang w:val="en-US"/>
        </w:rPr>
        <w:t xml:space="preserve"> </w:t>
      </w:r>
    </w:p>
    <w:p w:rsidR="00055F28" w:rsidRPr="006B3002" w:rsidRDefault="00012CE6" w:rsidP="001B77E4">
      <w:pPr>
        <w:jc w:val="both"/>
        <w:rPr>
          <w:rFonts w:ascii="Calibri" w:hAnsi="Calibri" w:cs="Calibri"/>
          <w:lang w:val="en-US"/>
        </w:rPr>
      </w:pPr>
      <w:r w:rsidRPr="006B3002">
        <w:rPr>
          <w:rFonts w:ascii="Calibri" w:hAnsi="Calibri" w:cs="Calibri"/>
          <w:lang w:val="en-US"/>
        </w:rPr>
        <w:lastRenderedPageBreak/>
        <w:t>Poslov</w:t>
      </w:r>
      <w:r w:rsidR="00932BEC" w:rsidRPr="006B3002">
        <w:rPr>
          <w:rFonts w:ascii="Calibri" w:hAnsi="Calibri" w:cs="Calibri"/>
          <w:lang w:val="en-US"/>
        </w:rPr>
        <w:t xml:space="preserve">ni rashodi u </w:t>
      </w:r>
      <w:r w:rsidR="00002CC0" w:rsidRPr="006B3002">
        <w:rPr>
          <w:rFonts w:ascii="Calibri" w:hAnsi="Calibri" w:cs="Calibri"/>
          <w:lang w:val="en-US"/>
        </w:rPr>
        <w:t>prvoj polovini</w:t>
      </w:r>
      <w:r w:rsidR="00932BEC" w:rsidRPr="006B3002">
        <w:rPr>
          <w:rFonts w:ascii="Calibri" w:hAnsi="Calibri" w:cs="Calibri"/>
          <w:lang w:val="en-US"/>
        </w:rPr>
        <w:t xml:space="preserve"> 202</w:t>
      </w:r>
      <w:r w:rsidR="000A68BF">
        <w:rPr>
          <w:rFonts w:ascii="Calibri" w:hAnsi="Calibri" w:cs="Calibri"/>
          <w:lang w:val="en-US"/>
        </w:rPr>
        <w:t>2</w:t>
      </w:r>
      <w:r w:rsidR="00055F28" w:rsidRPr="006B3002">
        <w:rPr>
          <w:rFonts w:ascii="Calibri" w:hAnsi="Calibri" w:cs="Calibri"/>
          <w:lang w:val="en-US"/>
        </w:rPr>
        <w:t>.</w:t>
      </w:r>
      <w:r w:rsidR="00A035A1" w:rsidRPr="006B3002">
        <w:rPr>
          <w:rFonts w:ascii="Calibri" w:hAnsi="Calibri" w:cs="Calibri"/>
          <w:lang w:val="en-US"/>
        </w:rPr>
        <w:t>godin</w:t>
      </w:r>
      <w:r w:rsidRPr="006B3002">
        <w:rPr>
          <w:rFonts w:ascii="Calibri" w:hAnsi="Calibri" w:cs="Calibri"/>
          <w:lang w:val="en-US"/>
        </w:rPr>
        <w:t>e</w:t>
      </w:r>
      <w:r w:rsidR="00A035A1" w:rsidRPr="006B3002">
        <w:rPr>
          <w:rFonts w:ascii="Calibri" w:hAnsi="Calibri" w:cs="Calibri"/>
          <w:lang w:val="en-US"/>
        </w:rPr>
        <w:t xml:space="preserve"> su </w:t>
      </w:r>
      <w:r w:rsidR="00932BEC" w:rsidRPr="006B3002">
        <w:rPr>
          <w:rFonts w:ascii="Calibri" w:hAnsi="Calibri" w:cs="Calibri"/>
          <w:lang w:val="en-US"/>
        </w:rPr>
        <w:t xml:space="preserve">za </w:t>
      </w:r>
      <w:r w:rsidR="00002CC0" w:rsidRPr="006B3002">
        <w:rPr>
          <w:rFonts w:ascii="Calibri" w:hAnsi="Calibri" w:cs="Calibri"/>
          <w:lang w:val="en-US"/>
        </w:rPr>
        <w:t>5</w:t>
      </w:r>
      <w:r w:rsidR="00C57530" w:rsidRPr="006B3002">
        <w:rPr>
          <w:rFonts w:ascii="Calibri" w:hAnsi="Calibri" w:cs="Calibri"/>
          <w:lang w:val="en-US"/>
        </w:rPr>
        <w:t>,</w:t>
      </w:r>
      <w:r w:rsidR="00002CC0" w:rsidRPr="006B3002">
        <w:rPr>
          <w:rFonts w:ascii="Calibri" w:hAnsi="Calibri" w:cs="Calibri"/>
          <w:lang w:val="en-US"/>
        </w:rPr>
        <w:t>9</w:t>
      </w:r>
      <w:r w:rsidR="00C57530" w:rsidRPr="006B3002">
        <w:rPr>
          <w:rFonts w:ascii="Calibri" w:hAnsi="Calibri" w:cs="Calibri"/>
          <w:lang w:val="en-US"/>
        </w:rPr>
        <w:t xml:space="preserve">% </w:t>
      </w:r>
      <w:r w:rsidR="00002CC0" w:rsidRPr="006B3002">
        <w:rPr>
          <w:rFonts w:ascii="Calibri" w:hAnsi="Calibri" w:cs="Calibri"/>
          <w:lang w:val="en-US"/>
        </w:rPr>
        <w:t>veći</w:t>
      </w:r>
      <w:r w:rsidR="00C57530" w:rsidRPr="006B3002">
        <w:rPr>
          <w:rFonts w:ascii="Calibri" w:hAnsi="Calibri" w:cs="Calibri"/>
          <w:lang w:val="en-US"/>
        </w:rPr>
        <w:t xml:space="preserve"> u odnosu na isti</w:t>
      </w:r>
      <w:r w:rsidRPr="006B3002">
        <w:rPr>
          <w:rFonts w:ascii="Calibri" w:hAnsi="Calibri" w:cs="Calibri"/>
          <w:lang w:val="en-US"/>
        </w:rPr>
        <w:t xml:space="preserve"> period prošle godine</w:t>
      </w:r>
      <w:r w:rsidR="006B3002" w:rsidRPr="006B3002">
        <w:rPr>
          <w:rFonts w:ascii="Calibri" w:hAnsi="Calibri" w:cs="Calibri"/>
          <w:lang w:val="en-US"/>
        </w:rPr>
        <w:t xml:space="preserve"> </w:t>
      </w:r>
      <w:r w:rsidR="00932BEC" w:rsidRPr="006B3002">
        <w:rPr>
          <w:rFonts w:ascii="Calibri" w:hAnsi="Calibri" w:cs="Calibri"/>
          <w:lang w:val="en-US"/>
        </w:rPr>
        <w:t xml:space="preserve">zbog </w:t>
      </w:r>
      <w:r w:rsidR="006B3002" w:rsidRPr="006B3002">
        <w:rPr>
          <w:rFonts w:ascii="Calibri" w:hAnsi="Calibri" w:cs="Calibri"/>
          <w:lang w:val="en-US"/>
        </w:rPr>
        <w:t>veće</w:t>
      </w:r>
      <w:r w:rsidR="00932BEC" w:rsidRPr="006B3002">
        <w:rPr>
          <w:rFonts w:ascii="Calibri" w:hAnsi="Calibri" w:cs="Calibri"/>
          <w:lang w:val="en-US"/>
        </w:rPr>
        <w:t xml:space="preserve"> provizije</w:t>
      </w:r>
      <w:r w:rsidR="00960BFD" w:rsidRPr="006B3002">
        <w:rPr>
          <w:rFonts w:ascii="Calibri" w:hAnsi="Calibri" w:cs="Calibri"/>
          <w:lang w:val="en-US"/>
        </w:rPr>
        <w:t xml:space="preserve"> Društva </w:t>
      </w:r>
      <w:r w:rsidR="00932BEC" w:rsidRPr="006B3002">
        <w:rPr>
          <w:rFonts w:ascii="Calibri" w:hAnsi="Calibri" w:cs="Calibri"/>
          <w:lang w:val="en-US"/>
        </w:rPr>
        <w:t>za</w:t>
      </w:r>
      <w:r w:rsidR="006B3002" w:rsidRPr="006B3002">
        <w:rPr>
          <w:rFonts w:ascii="Calibri" w:hAnsi="Calibri" w:cs="Calibri"/>
          <w:lang w:val="en-US"/>
        </w:rPr>
        <w:t xml:space="preserve"> upravljanje</w:t>
      </w:r>
      <w:r w:rsidR="00960BFD" w:rsidRPr="006B3002">
        <w:rPr>
          <w:rFonts w:ascii="Calibri" w:hAnsi="Calibri" w:cs="Calibri"/>
          <w:lang w:val="en-US"/>
        </w:rPr>
        <w:t>.</w:t>
      </w:r>
    </w:p>
    <w:p w:rsidR="00932BEC" w:rsidRPr="006B3002" w:rsidRDefault="00932BEC" w:rsidP="001B77E4">
      <w:pPr>
        <w:jc w:val="both"/>
        <w:rPr>
          <w:rFonts w:ascii="Calibri" w:hAnsi="Calibri" w:cs="Calibri"/>
          <w:lang w:val="en-US"/>
        </w:rPr>
      </w:pPr>
    </w:p>
    <w:p w:rsidR="00052AF4" w:rsidRPr="00012CE6" w:rsidRDefault="00932BEC" w:rsidP="001B77E4">
      <w:pPr>
        <w:jc w:val="both"/>
        <w:rPr>
          <w:rFonts w:ascii="Calibri" w:hAnsi="Calibri" w:cs="Calibri"/>
          <w:lang w:val="de-DE"/>
        </w:rPr>
      </w:pPr>
      <w:r w:rsidRPr="006B3002">
        <w:rPr>
          <w:rFonts w:ascii="Calibri" w:hAnsi="Calibri" w:cs="Calibri"/>
          <w:lang w:val="de-DE"/>
        </w:rPr>
        <w:t>U periodu 01.01.202</w:t>
      </w:r>
      <w:r w:rsidR="006B3002" w:rsidRPr="006B3002">
        <w:rPr>
          <w:rFonts w:ascii="Calibri" w:hAnsi="Calibri" w:cs="Calibri"/>
          <w:lang w:val="de-DE"/>
        </w:rPr>
        <w:t>2</w:t>
      </w:r>
      <w:r w:rsidR="00052AF4" w:rsidRPr="006B3002">
        <w:rPr>
          <w:rFonts w:ascii="Calibri" w:hAnsi="Calibri" w:cs="Calibri"/>
          <w:lang w:val="de-DE"/>
        </w:rPr>
        <w:t>-3</w:t>
      </w:r>
      <w:r w:rsidR="007352B3">
        <w:rPr>
          <w:rFonts w:ascii="Calibri" w:hAnsi="Calibri" w:cs="Calibri"/>
          <w:lang w:val="de-DE"/>
        </w:rPr>
        <w:t>0</w:t>
      </w:r>
      <w:r w:rsidR="00267093" w:rsidRPr="006B3002">
        <w:rPr>
          <w:rFonts w:ascii="Calibri" w:hAnsi="Calibri" w:cs="Calibri"/>
          <w:lang w:val="de-DE"/>
        </w:rPr>
        <w:t>.</w:t>
      </w:r>
      <w:r w:rsidRPr="006B3002">
        <w:rPr>
          <w:rFonts w:ascii="Calibri" w:hAnsi="Calibri" w:cs="Calibri"/>
          <w:lang w:val="de-DE"/>
        </w:rPr>
        <w:t>0</w:t>
      </w:r>
      <w:r w:rsidR="006B3002" w:rsidRPr="006B3002">
        <w:rPr>
          <w:rFonts w:ascii="Calibri" w:hAnsi="Calibri" w:cs="Calibri"/>
          <w:lang w:val="de-DE"/>
        </w:rPr>
        <w:t>6</w:t>
      </w:r>
      <w:r w:rsidRPr="006B3002">
        <w:rPr>
          <w:rFonts w:ascii="Calibri" w:hAnsi="Calibri" w:cs="Calibri"/>
          <w:lang w:val="de-DE"/>
        </w:rPr>
        <w:t>.202</w:t>
      </w:r>
      <w:r w:rsidR="006B3002" w:rsidRPr="006B3002">
        <w:rPr>
          <w:rFonts w:ascii="Calibri" w:hAnsi="Calibri" w:cs="Calibri"/>
          <w:lang w:val="de-DE"/>
        </w:rPr>
        <w:t>2</w:t>
      </w:r>
      <w:r w:rsidR="00052AF4" w:rsidRPr="006B3002">
        <w:rPr>
          <w:rFonts w:ascii="Calibri" w:hAnsi="Calibri" w:cs="Calibri"/>
          <w:lang w:val="de-DE"/>
        </w:rPr>
        <w:t xml:space="preserve">.godine ostvaren je </w:t>
      </w:r>
      <w:r w:rsidRPr="006B3002">
        <w:rPr>
          <w:rFonts w:ascii="Calibri" w:hAnsi="Calibri" w:cs="Calibri"/>
          <w:lang w:val="de-DE"/>
        </w:rPr>
        <w:t>do</w:t>
      </w:r>
      <w:r w:rsidR="00012CE6" w:rsidRPr="006B3002">
        <w:rPr>
          <w:rFonts w:ascii="Calibri" w:hAnsi="Calibri" w:cs="Calibri"/>
          <w:lang w:val="de-DE"/>
        </w:rPr>
        <w:t>bitak</w:t>
      </w:r>
      <w:r w:rsidRPr="006B3002">
        <w:rPr>
          <w:rFonts w:ascii="Calibri" w:hAnsi="Calibri" w:cs="Calibri"/>
          <w:lang w:val="de-DE"/>
        </w:rPr>
        <w:t xml:space="preserve"> </w:t>
      </w:r>
      <w:r w:rsidR="00052AF4" w:rsidRPr="006B3002">
        <w:rPr>
          <w:rFonts w:ascii="Calibri" w:hAnsi="Calibri" w:cs="Calibri"/>
          <w:lang w:val="de-DE"/>
        </w:rPr>
        <w:t xml:space="preserve">od </w:t>
      </w:r>
      <w:r w:rsidR="006B3002" w:rsidRPr="006B3002">
        <w:rPr>
          <w:rFonts w:ascii="Calibri" w:hAnsi="Calibri" w:cs="Calibri"/>
          <w:lang w:val="de-DE"/>
        </w:rPr>
        <w:t>2.381</w:t>
      </w:r>
      <w:r w:rsidRPr="006B3002">
        <w:rPr>
          <w:rFonts w:ascii="Calibri" w:hAnsi="Calibri" w:cs="Arial"/>
          <w:color w:val="000000"/>
          <w:sz w:val="22"/>
          <w:szCs w:val="22"/>
        </w:rPr>
        <w:t>.</w:t>
      </w:r>
      <w:r w:rsidR="006B3002" w:rsidRPr="006B3002">
        <w:rPr>
          <w:rFonts w:ascii="Calibri" w:hAnsi="Calibri" w:cs="Arial"/>
          <w:color w:val="000000"/>
          <w:sz w:val="22"/>
          <w:szCs w:val="22"/>
        </w:rPr>
        <w:t>137</w:t>
      </w:r>
      <w:r w:rsidR="00C57530" w:rsidRPr="006B300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52AF4" w:rsidRPr="006B3002">
        <w:rPr>
          <w:rFonts w:ascii="Calibri" w:hAnsi="Calibri" w:cs="Calibri"/>
          <w:sz w:val="22"/>
          <w:szCs w:val="22"/>
          <w:lang w:val="de-DE"/>
        </w:rPr>
        <w:t>KM</w:t>
      </w:r>
      <w:r w:rsidR="003775EE" w:rsidRPr="006B3002">
        <w:rPr>
          <w:rFonts w:ascii="Calibri" w:hAnsi="Calibri" w:cs="Calibri"/>
          <w:sz w:val="22"/>
          <w:szCs w:val="22"/>
          <w:lang w:val="de-DE"/>
        </w:rPr>
        <w:t>,</w:t>
      </w:r>
      <w:r w:rsidR="00633A55" w:rsidRPr="006B3002">
        <w:rPr>
          <w:rFonts w:ascii="Calibri" w:hAnsi="Calibri" w:cs="Calibri"/>
          <w:lang w:val="de-DE"/>
        </w:rPr>
        <w:t xml:space="preserve"> odnosno </w:t>
      </w:r>
      <w:r w:rsidRPr="006B3002">
        <w:rPr>
          <w:rFonts w:ascii="Calibri" w:hAnsi="Calibri" w:cs="Calibri"/>
          <w:lang w:val="de-DE"/>
        </w:rPr>
        <w:t>do</w:t>
      </w:r>
      <w:r w:rsidR="00012CE6" w:rsidRPr="006B3002">
        <w:rPr>
          <w:rFonts w:ascii="Calibri" w:hAnsi="Calibri" w:cs="Calibri"/>
          <w:lang w:val="de-DE"/>
        </w:rPr>
        <w:t>bitak</w:t>
      </w:r>
      <w:r w:rsidR="00633A55" w:rsidRPr="006B3002">
        <w:rPr>
          <w:rFonts w:ascii="Calibri" w:hAnsi="Calibri" w:cs="Calibri"/>
          <w:lang w:val="de-DE"/>
        </w:rPr>
        <w:t xml:space="preserve"> po udjelu </w:t>
      </w:r>
      <w:r w:rsidR="001B77E4" w:rsidRPr="006B3002">
        <w:rPr>
          <w:rFonts w:ascii="Calibri" w:hAnsi="Calibri" w:cs="Calibri"/>
          <w:lang w:val="de-DE"/>
        </w:rPr>
        <w:t xml:space="preserve">od </w:t>
      </w:r>
      <w:r w:rsidRPr="006B3002">
        <w:rPr>
          <w:rFonts w:ascii="Calibri" w:hAnsi="Calibri" w:cs="Calibri"/>
          <w:lang w:val="de-DE"/>
        </w:rPr>
        <w:t>0,</w:t>
      </w:r>
      <w:r w:rsidR="006B3002" w:rsidRPr="006B3002">
        <w:rPr>
          <w:rFonts w:ascii="Calibri" w:hAnsi="Calibri" w:cs="Calibri"/>
          <w:lang w:val="de-DE"/>
        </w:rPr>
        <w:t>5835</w:t>
      </w:r>
      <w:r w:rsidR="00C57530" w:rsidRPr="006B3002">
        <w:rPr>
          <w:rFonts w:ascii="Calibri" w:hAnsi="Calibri" w:cs="Calibri"/>
          <w:lang w:val="de-DE"/>
        </w:rPr>
        <w:t xml:space="preserve"> </w:t>
      </w:r>
      <w:r w:rsidR="001B77E4" w:rsidRPr="006B3002">
        <w:rPr>
          <w:rFonts w:ascii="Calibri" w:hAnsi="Calibri" w:cs="Calibri"/>
          <w:lang w:val="de-DE"/>
        </w:rPr>
        <w:t>KM</w:t>
      </w:r>
      <w:r w:rsidR="00875889">
        <w:rPr>
          <w:rFonts w:ascii="Calibri" w:hAnsi="Calibri" w:cs="Calibri"/>
          <w:lang w:val="de-DE"/>
        </w:rPr>
        <w:t xml:space="preserve"> </w:t>
      </w:r>
      <w:r w:rsidR="00875889" w:rsidRPr="00A940FE">
        <w:rPr>
          <w:rFonts w:ascii="Calibri" w:hAnsi="Calibri" w:cs="Calibri"/>
          <w:lang w:val="sr-Latn-BA"/>
        </w:rPr>
        <w:t xml:space="preserve">što je rast od </w:t>
      </w:r>
      <w:r w:rsidR="00A940FE" w:rsidRPr="00A940FE">
        <w:rPr>
          <w:rFonts w:ascii="Calibri" w:hAnsi="Calibri" w:cs="Calibri"/>
          <w:lang w:val="sr-Latn-BA"/>
        </w:rPr>
        <w:t>1</w:t>
      </w:r>
      <w:r w:rsidR="00875889" w:rsidRPr="00A940FE">
        <w:rPr>
          <w:rFonts w:ascii="Calibri" w:hAnsi="Calibri" w:cs="Calibri"/>
          <w:lang w:val="sr-Latn-BA"/>
        </w:rPr>
        <w:t>5,96 % u odnosu na prethodnu godinu</w:t>
      </w:r>
      <w:r w:rsidR="001B77E4" w:rsidRPr="00A940FE">
        <w:rPr>
          <w:rFonts w:ascii="Calibri" w:hAnsi="Calibri" w:cs="Calibri"/>
          <w:lang w:val="de-DE"/>
        </w:rPr>
        <w:t>.</w:t>
      </w:r>
    </w:p>
    <w:p w:rsidR="007154DE" w:rsidRPr="00012CE6" w:rsidRDefault="007154DE" w:rsidP="001B77E4">
      <w:pPr>
        <w:jc w:val="both"/>
        <w:rPr>
          <w:rFonts w:ascii="Calibri" w:hAnsi="Calibri" w:cs="Calibri"/>
          <w:lang w:val="de-DE"/>
        </w:rPr>
      </w:pPr>
    </w:p>
    <w:p w:rsidR="00055F28" w:rsidRPr="00012CE6" w:rsidRDefault="00055F28" w:rsidP="001B77E4">
      <w:pPr>
        <w:jc w:val="both"/>
        <w:rPr>
          <w:rFonts w:ascii="Calibri" w:hAnsi="Calibri" w:cs="Calibri"/>
          <w:lang w:val="de-DE"/>
        </w:rPr>
      </w:pPr>
    </w:p>
    <w:p w:rsidR="00052AF4" w:rsidRPr="006F5F1D" w:rsidRDefault="00052AF4" w:rsidP="00052AF4">
      <w:pPr>
        <w:numPr>
          <w:ilvl w:val="1"/>
          <w:numId w:val="7"/>
        </w:numPr>
        <w:rPr>
          <w:rFonts w:ascii="Calibri" w:hAnsi="Calibri" w:cs="Calibri"/>
          <w:lang w:val="en-US"/>
        </w:rPr>
      </w:pPr>
      <w:r w:rsidRPr="006F5F1D">
        <w:rPr>
          <w:rFonts w:ascii="Calibri" w:hAnsi="Calibri" w:cs="Calibri"/>
          <w:lang w:val="en-US"/>
        </w:rPr>
        <w:t>Bilans stanja na dan 3</w:t>
      </w:r>
      <w:r w:rsidR="00857275">
        <w:rPr>
          <w:rFonts w:ascii="Calibri" w:hAnsi="Calibri" w:cs="Calibri"/>
          <w:lang w:val="en-US"/>
        </w:rPr>
        <w:t>0</w:t>
      </w:r>
      <w:r w:rsidR="00267093" w:rsidRPr="006F5F1D">
        <w:rPr>
          <w:rFonts w:ascii="Calibri" w:hAnsi="Calibri" w:cs="Calibri"/>
          <w:lang w:val="en-US"/>
        </w:rPr>
        <w:t>.</w:t>
      </w:r>
      <w:r w:rsidR="00137832">
        <w:rPr>
          <w:rFonts w:ascii="Calibri" w:hAnsi="Calibri" w:cs="Calibri"/>
          <w:lang w:val="en-US"/>
        </w:rPr>
        <w:t>0</w:t>
      </w:r>
      <w:r w:rsidR="00857275">
        <w:rPr>
          <w:rFonts w:ascii="Calibri" w:hAnsi="Calibri" w:cs="Calibri"/>
          <w:lang w:val="en-US"/>
        </w:rPr>
        <w:t>6</w:t>
      </w:r>
      <w:r w:rsidR="00137832">
        <w:rPr>
          <w:rFonts w:ascii="Calibri" w:hAnsi="Calibri" w:cs="Calibri"/>
          <w:lang w:val="en-US"/>
        </w:rPr>
        <w:t>.202</w:t>
      </w:r>
      <w:r w:rsidR="00857275">
        <w:rPr>
          <w:rFonts w:ascii="Calibri" w:hAnsi="Calibri" w:cs="Calibri"/>
          <w:lang w:val="en-US"/>
        </w:rPr>
        <w:t>2</w:t>
      </w:r>
      <w:r w:rsidRPr="006F5F1D">
        <w:rPr>
          <w:rFonts w:ascii="Calibri" w:hAnsi="Calibri" w:cs="Calibri"/>
          <w:lang w:val="en-US"/>
        </w:rPr>
        <w:t>.</w:t>
      </w:r>
    </w:p>
    <w:p w:rsidR="00052AF4" w:rsidRPr="00A21829" w:rsidRDefault="00052AF4" w:rsidP="00052AF4">
      <w:pPr>
        <w:rPr>
          <w:rFonts w:ascii="Calibri" w:hAnsi="Calibri" w:cs="Calibri"/>
          <w:lang w:val="en-US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5758"/>
        <w:gridCol w:w="1353"/>
        <w:gridCol w:w="1225"/>
        <w:gridCol w:w="1184"/>
      </w:tblGrid>
      <w:tr w:rsidR="00012CE6" w:rsidTr="00012CE6">
        <w:trPr>
          <w:trHeight w:val="315"/>
        </w:trPr>
        <w:tc>
          <w:tcPr>
            <w:tcW w:w="575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Pozicija</w:t>
            </w:r>
          </w:p>
        </w:tc>
        <w:tc>
          <w:tcPr>
            <w:tcW w:w="135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24228F" w:rsidP="008572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85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85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.202</w:t>
            </w:r>
            <w:r w:rsidR="0085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D33A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24228F" w:rsidP="008572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31.12.202</w:t>
            </w:r>
            <w:r w:rsidR="0085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Indeks (2/3)*100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12CE6" w:rsidTr="00857275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UKUPNA IMOVINA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56.321.629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59.711.648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4222A3" w:rsidP="008572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CE6" w:rsidTr="00857275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Gotovina i gotovinski ekvivalenti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751.312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 w:rsidP="002422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1.201.170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4222A3" w:rsidP="008572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857275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Ulaganja fonda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54.773.091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56.546.933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4222A3" w:rsidP="008572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  <w:r w:rsidR="002422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857275">
        <w:trPr>
          <w:trHeight w:val="51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406B51" w:rsidRDefault="00012CE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406B5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 Ulaganja fonda u fin. sredstva po fer vrijednosti kroz bilans uspjeha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46.815.761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42.338.362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4222A3" w:rsidP="0085727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110</w:t>
            </w:r>
            <w:r w:rsidR="0024228F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58</w:t>
            </w:r>
            <w:r w:rsidR="0024228F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857275">
        <w:trPr>
          <w:trHeight w:val="51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Ulaganja fonda u finansijska sredstva raspoloživa za prodaju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3.691.035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4.402.288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25B1F" w:rsidRDefault="004222A3" w:rsidP="0085727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83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87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51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Ulaganja fonda u finansijska sredstva koja se drže do roka dospijeća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4222A3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0,00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857275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Depoziti i plasmani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4.266.295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9.806.282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940FE" w:rsidRDefault="004222A3" w:rsidP="0085727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940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43</w:t>
            </w:r>
            <w:r w:rsidR="00012CE6" w:rsidRPr="00A940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 w:rsidRPr="00A940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</w:t>
            </w:r>
            <w:r w:rsidR="00012CE6" w:rsidRPr="00A940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857275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Potraživanja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 w:rsidP="002422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797.226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1.963.545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4222A3" w:rsidP="008572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po osnovu prodaje hartija od vrijednosti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25B1F" w:rsidRDefault="00012CE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857275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Potraživanja po osnovu </w:t>
            </w:r>
            <w:r w:rsidR="00857275">
              <w:rPr>
                <w:rFonts w:ascii="Calibri" w:hAnsi="Calibri" w:cs="Calibri"/>
                <w:color w:val="000000"/>
                <w:sz w:val="20"/>
                <w:szCs w:val="20"/>
              </w:rPr>
              <w:t>dividendi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649.291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857275" w:rsidP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1.815.727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4222A3" w:rsidP="0085727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35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76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 w:rsidP="008572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Potraživanja po osnovu </w:t>
            </w:r>
            <w:r w:rsidR="00857275">
              <w:rPr>
                <w:rFonts w:ascii="Calibri" w:hAnsi="Calibri" w:cs="Calibri"/>
                <w:color w:val="000000"/>
                <w:sz w:val="20"/>
                <w:szCs w:val="20"/>
              </w:rPr>
              <w:t>datih avansa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25B1F" w:rsidP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144.196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25B1F" w:rsidP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144.196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25B1F" w:rsidRDefault="004222A3" w:rsidP="0085727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100</w:t>
            </w:r>
            <w:r w:rsidR="00857275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00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</w:t>
            </w:r>
            <w:r w:rsidR="00A25B1F">
              <w:rPr>
                <w:rFonts w:ascii="Calibri" w:hAnsi="Calibri" w:cs="Calibri"/>
                <w:color w:val="000000"/>
                <w:sz w:val="20"/>
                <w:szCs w:val="20"/>
              </w:rPr>
              <w:t>Potraživanja od društva za upravljanje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3.739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4222A3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130</w:t>
            </w:r>
            <w:r w:rsidR="00A25B1F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73</w:t>
            </w:r>
            <w:r w:rsidR="00A25B1F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Pr="00A25B1F" w:rsidRDefault="00012CE6" w:rsidP="00A25B1F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</w:t>
            </w:r>
            <w:r w:rsidR="00A25B1F">
              <w:rPr>
                <w:rFonts w:ascii="Calibri" w:hAnsi="Calibri" w:cs="Calibri"/>
                <w:color w:val="000000"/>
                <w:sz w:val="20"/>
                <w:szCs w:val="20"/>
              </w:rPr>
              <w:t>Ostala potraživanja</w:t>
            </w:r>
            <w:r w:rsidR="00A25B1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25B1F" w:rsidRDefault="004222A3" w:rsidP="0085727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00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Obaveze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526.578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A25B1F" w:rsidP="00A25B1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181.517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4222A3" w:rsidP="008572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po osnovu ulaganja u hartije od vrijednosti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25B1F" w:rsidRDefault="004222A3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Obaveze prema banci depozitaru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4222A3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po osnovu otkupa udjela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12.251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8.770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25B1F" w:rsidRDefault="004222A3" w:rsidP="00A25B1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139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69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prema društvu za up</w:t>
            </w:r>
            <w:r w:rsidR="00C57530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avljanje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513.883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172.747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4222A3" w:rsidP="00A25B1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297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48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 w:rsidP="00A25B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</w:t>
            </w:r>
            <w:r w:rsidR="00A25B1F">
              <w:rPr>
                <w:rFonts w:ascii="Calibri" w:hAnsi="Calibri" w:cs="Calibri"/>
                <w:color w:val="000000"/>
                <w:sz w:val="20"/>
                <w:szCs w:val="20"/>
              </w:rPr>
              <w:t>Obaveze za ulaznu i izlaznu naknadu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25B1F" w:rsidRDefault="004222A3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139</w:t>
            </w:r>
            <w:r w:rsidR="00A25B1F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62</w:t>
            </w:r>
            <w:r w:rsidR="00A25B1F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A25B1F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NETO IMOVINA FONDA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A25B1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55.795.051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A25B1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59.530.131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940FE" w:rsidRDefault="004222A3" w:rsidP="00A25B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940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</w:t>
            </w:r>
            <w:r w:rsidR="00012CE6" w:rsidRPr="00A940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Pr="00A940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  <w:r w:rsidR="00012CE6" w:rsidRPr="00A940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805A1" w:rsidTr="00A25B1F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3805A1" w:rsidRDefault="003805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Kapital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3805A1" w:rsidRDefault="00A25B1F" w:rsidP="004C73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37.134.394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3805A1" w:rsidRDefault="00A25B1F" w:rsidP="004C73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43.221.346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3805A1" w:rsidRPr="00EB7B35" w:rsidRDefault="004222A3" w:rsidP="00A25B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</w:t>
            </w:r>
            <w:r w:rsidR="003805A1" w:rsidRP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</w:t>
            </w:r>
            <w:r w:rsidR="003805A1" w:rsidRP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A25B1F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Akcijski kapital – udjeli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37.134.394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43.221.346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3419F6" w:rsidP="00A25B1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85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92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Emisiona premija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4222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Reval</w:t>
            </w:r>
            <w:r w:rsidR="00B221C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orizacione rezerve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60.531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A25B1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89.796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3419F6" w:rsidP="00A25B1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67</w:t>
            </w:r>
            <w:r w:rsidR="003805A1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41</w:t>
            </w:r>
            <w:r w:rsidR="003805A1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Neraspoređena dobit</w:t>
            </w:r>
            <w:r w:rsidR="00946E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EB7B35" w:rsidP="00EB7B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3805A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  <w:r w:rsidR="003805A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EB7B35" w:rsidP="00EB7B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3805A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  <w:r w:rsidR="003805A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Pr="00A25B1F" w:rsidRDefault="00A940FE" w:rsidP="00EB7B3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114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</w:t>
            </w:r>
            <w:r w:rsidR="00012CE6"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25B1F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A25B1F" w:rsidRPr="00EB7B35" w:rsidRDefault="00EB7B35">
            <w:pPr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- Neraspoređena dobit tekuće godine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A25B1F" w:rsidRPr="00EB7B35" w:rsidRDefault="00EB7B35">
            <w:pPr>
              <w:jc w:val="right"/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val="en-US"/>
              </w:rPr>
              <w:t>2.381.137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</w:tcPr>
          <w:p w:rsidR="00A25B1F" w:rsidRPr="00EB7B35" w:rsidRDefault="00EB7B35">
            <w:pPr>
              <w:jc w:val="right"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  <w:r w:rsidRPr="00EB7B35"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>9.137.026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</w:tcPr>
          <w:p w:rsidR="00A25B1F" w:rsidRPr="00A25B1F" w:rsidRDefault="00A940FE" w:rsidP="003805A1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  <w:r w:rsidR="00EB7B35" w:rsidRP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</w:t>
            </w:r>
            <w:r w:rsidR="00EB7B35" w:rsidRPr="00EB7B3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Nepokriveni gubitak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Pr="00A25B1F" w:rsidRDefault="004222A3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00</w:t>
            </w:r>
            <w:r w:rsidRPr="00A25B1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Broj emitovanih udjela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3419F6" w:rsidP="003419F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768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3805A1" w:rsidP="003419F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</w:t>
            </w:r>
            <w:r w:rsidR="00341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341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3419F6" w:rsidP="003419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15"/>
        </w:trPr>
        <w:tc>
          <w:tcPr>
            <w:tcW w:w="575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Neto imovina po udjelu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419F6" w:rsidP="003419F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419F6" w:rsidP="003419F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3805A1" w:rsidP="003419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="00341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3419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052AF4" w:rsidRPr="00A21829" w:rsidRDefault="00052AF4" w:rsidP="00052AF4">
      <w:pPr>
        <w:jc w:val="both"/>
        <w:rPr>
          <w:rFonts w:ascii="Calibri" w:hAnsi="Calibri" w:cs="Calibri"/>
          <w:lang w:val="en-US"/>
        </w:rPr>
      </w:pPr>
    </w:p>
    <w:p w:rsidR="00052AF4" w:rsidRPr="007352B3" w:rsidRDefault="00052AF4" w:rsidP="00052AF4">
      <w:pPr>
        <w:jc w:val="both"/>
        <w:rPr>
          <w:rFonts w:ascii="Calibri" w:hAnsi="Calibri" w:cs="Calibri"/>
          <w:lang w:val="sr-Latn-BA"/>
        </w:rPr>
      </w:pPr>
      <w:r w:rsidRPr="007352B3">
        <w:rPr>
          <w:rFonts w:ascii="Calibri" w:hAnsi="Calibri" w:cs="Calibri"/>
          <w:lang w:val="en-US"/>
        </w:rPr>
        <w:lastRenderedPageBreak/>
        <w:t>Ukupna imovina Fonda na dan 3</w:t>
      </w:r>
      <w:r w:rsidR="007352B3" w:rsidRPr="007352B3">
        <w:rPr>
          <w:rFonts w:ascii="Calibri" w:hAnsi="Calibri" w:cs="Calibri"/>
          <w:lang w:val="en-US"/>
        </w:rPr>
        <w:t>0</w:t>
      </w:r>
      <w:r w:rsidRPr="007352B3">
        <w:rPr>
          <w:rFonts w:ascii="Calibri" w:hAnsi="Calibri" w:cs="Calibri"/>
          <w:lang w:val="en-US"/>
        </w:rPr>
        <w:t>.</w:t>
      </w:r>
      <w:r w:rsidR="00932BEC" w:rsidRPr="007352B3">
        <w:rPr>
          <w:rFonts w:ascii="Calibri" w:hAnsi="Calibri" w:cs="Calibri"/>
          <w:lang w:val="en-US"/>
        </w:rPr>
        <w:t>0</w:t>
      </w:r>
      <w:r w:rsidR="007352B3" w:rsidRPr="007352B3">
        <w:rPr>
          <w:rFonts w:ascii="Calibri" w:hAnsi="Calibri" w:cs="Calibri"/>
          <w:lang w:val="en-US"/>
        </w:rPr>
        <w:t>6</w:t>
      </w:r>
      <w:r w:rsidR="00932BEC" w:rsidRPr="007352B3">
        <w:rPr>
          <w:rFonts w:ascii="Calibri" w:hAnsi="Calibri" w:cs="Calibri"/>
          <w:lang w:val="en-US"/>
        </w:rPr>
        <w:t>.202</w:t>
      </w:r>
      <w:r w:rsidR="007352B3" w:rsidRPr="007352B3">
        <w:rPr>
          <w:rFonts w:ascii="Calibri" w:hAnsi="Calibri" w:cs="Calibri"/>
          <w:lang w:val="en-US"/>
        </w:rPr>
        <w:t>2</w:t>
      </w:r>
      <w:r w:rsidRPr="007352B3">
        <w:rPr>
          <w:rFonts w:ascii="Calibri" w:hAnsi="Calibri" w:cs="Calibri"/>
          <w:lang w:val="en-US"/>
        </w:rPr>
        <w:t>.</w:t>
      </w:r>
      <w:r w:rsidR="00875889">
        <w:rPr>
          <w:rFonts w:ascii="Calibri" w:hAnsi="Calibri" w:cs="Calibri"/>
          <w:lang w:val="en-US"/>
        </w:rPr>
        <w:t xml:space="preserve"> </w:t>
      </w:r>
      <w:r w:rsidRPr="007352B3">
        <w:rPr>
          <w:rFonts w:ascii="Calibri" w:hAnsi="Calibri" w:cs="Calibri"/>
          <w:lang w:val="en-US"/>
        </w:rPr>
        <w:t xml:space="preserve">godine iznosi </w:t>
      </w:r>
      <w:r w:rsidR="00932BEC" w:rsidRPr="007352B3">
        <w:rPr>
          <w:rFonts w:ascii="Calibri" w:hAnsi="Calibri" w:cs="Calibri"/>
          <w:lang w:val="en-US"/>
        </w:rPr>
        <w:t>5</w:t>
      </w:r>
      <w:r w:rsidR="007352B3" w:rsidRPr="007352B3">
        <w:rPr>
          <w:rFonts w:ascii="Calibri" w:hAnsi="Calibri" w:cs="Calibri"/>
          <w:lang w:val="en-US"/>
        </w:rPr>
        <w:t>6</w:t>
      </w:r>
      <w:r w:rsidR="00932BEC" w:rsidRPr="007352B3">
        <w:rPr>
          <w:rFonts w:ascii="Calibri" w:hAnsi="Calibri" w:cs="Calibri"/>
          <w:lang w:val="en-US"/>
        </w:rPr>
        <w:t>.</w:t>
      </w:r>
      <w:r w:rsidR="007352B3" w:rsidRPr="007352B3">
        <w:rPr>
          <w:rFonts w:ascii="Calibri" w:hAnsi="Calibri" w:cs="Calibri"/>
          <w:lang w:val="en-US"/>
        </w:rPr>
        <w:t>321</w:t>
      </w:r>
      <w:r w:rsidR="00932BEC" w:rsidRPr="007352B3">
        <w:rPr>
          <w:rFonts w:ascii="Calibri" w:hAnsi="Calibri" w:cs="Calibri"/>
          <w:lang w:val="en-US"/>
        </w:rPr>
        <w:t>.</w:t>
      </w:r>
      <w:r w:rsidR="007352B3" w:rsidRPr="007352B3">
        <w:rPr>
          <w:rFonts w:ascii="Calibri" w:hAnsi="Calibri" w:cs="Calibri"/>
          <w:lang w:val="en-US"/>
        </w:rPr>
        <w:t>629</w:t>
      </w:r>
      <w:r w:rsidR="00932BEC" w:rsidRPr="007352B3">
        <w:rPr>
          <w:rFonts w:ascii="Calibri" w:hAnsi="Calibri" w:cs="Calibri"/>
          <w:lang w:val="en-US"/>
        </w:rPr>
        <w:t xml:space="preserve"> </w:t>
      </w:r>
      <w:r w:rsidRPr="007352B3">
        <w:rPr>
          <w:rFonts w:ascii="Calibri" w:hAnsi="Calibri" w:cs="Calibri"/>
          <w:lang w:val="en-US"/>
        </w:rPr>
        <w:t xml:space="preserve">KM, od čega se na ulaganja u hartije od vrijednosti odnosi </w:t>
      </w:r>
      <w:r w:rsidR="007352B3" w:rsidRPr="007352B3">
        <w:rPr>
          <w:rFonts w:ascii="Calibri" w:hAnsi="Calibri" w:cs="Calibri"/>
          <w:lang w:val="en-US"/>
        </w:rPr>
        <w:t>89</w:t>
      </w:r>
      <w:r w:rsidR="00932BEC" w:rsidRPr="007352B3">
        <w:rPr>
          <w:rFonts w:ascii="Calibri" w:hAnsi="Calibri" w:cs="Calibri"/>
          <w:lang w:val="en-US"/>
        </w:rPr>
        <w:t>,</w:t>
      </w:r>
      <w:r w:rsidR="007352B3" w:rsidRPr="007352B3">
        <w:rPr>
          <w:rFonts w:ascii="Calibri" w:hAnsi="Calibri" w:cs="Calibri"/>
          <w:lang w:val="en-US"/>
        </w:rPr>
        <w:t>68</w:t>
      </w:r>
      <w:r w:rsidR="00EB7B35" w:rsidRPr="007352B3">
        <w:rPr>
          <w:rFonts w:ascii="Calibri" w:hAnsi="Calibri" w:cs="Calibri"/>
          <w:lang w:val="en-US"/>
        </w:rPr>
        <w:t xml:space="preserve"> </w:t>
      </w:r>
      <w:r w:rsidRPr="007352B3">
        <w:rPr>
          <w:rFonts w:ascii="Calibri" w:hAnsi="Calibri" w:cs="Calibri"/>
          <w:lang w:val="en-US"/>
        </w:rPr>
        <w:t>%</w:t>
      </w:r>
      <w:r w:rsidR="00DB5BAE" w:rsidRPr="007352B3">
        <w:rPr>
          <w:rFonts w:ascii="Calibri" w:hAnsi="Calibri" w:cs="Calibri"/>
          <w:lang w:val="sr-Latn-BA"/>
        </w:rPr>
        <w:t>.</w:t>
      </w:r>
      <w:r w:rsidR="00C57530" w:rsidRPr="007352B3">
        <w:rPr>
          <w:rFonts w:ascii="Calibri" w:hAnsi="Calibri" w:cs="Calibri"/>
          <w:lang w:val="sr-Latn-BA"/>
        </w:rPr>
        <w:t xml:space="preserve"> </w:t>
      </w:r>
      <w:r w:rsidR="00932BEC" w:rsidRPr="007352B3">
        <w:rPr>
          <w:rFonts w:ascii="Calibri" w:hAnsi="Calibri" w:cs="Calibri"/>
          <w:lang w:val="sr-Latn-BA"/>
        </w:rPr>
        <w:t>U odnosu na 31.12.202</w:t>
      </w:r>
      <w:r w:rsidR="007352B3" w:rsidRPr="007352B3">
        <w:rPr>
          <w:rFonts w:ascii="Calibri" w:hAnsi="Calibri" w:cs="Calibri"/>
          <w:lang w:val="sr-Latn-BA"/>
        </w:rPr>
        <w:t>1</w:t>
      </w:r>
      <w:r w:rsidR="00012CE6" w:rsidRPr="007352B3">
        <w:rPr>
          <w:rFonts w:ascii="Calibri" w:hAnsi="Calibri" w:cs="Calibri"/>
          <w:lang w:val="sr-Latn-BA"/>
        </w:rPr>
        <w:t>.godine bilježimo značajno smanjenje gotovine</w:t>
      </w:r>
      <w:r w:rsidR="00EC0D29" w:rsidRPr="007352B3">
        <w:rPr>
          <w:rFonts w:ascii="Calibri" w:hAnsi="Calibri" w:cs="Calibri"/>
          <w:lang w:val="sr-Latn-BA"/>
        </w:rPr>
        <w:t xml:space="preserve">, što je </w:t>
      </w:r>
      <w:r w:rsidR="00E63AF7" w:rsidRPr="007352B3">
        <w:rPr>
          <w:rFonts w:ascii="Calibri" w:hAnsi="Calibri" w:cs="Calibri"/>
          <w:lang w:val="sr-Latn-BA"/>
        </w:rPr>
        <w:t>uglavnom</w:t>
      </w:r>
      <w:r w:rsidR="00C57530" w:rsidRPr="007352B3">
        <w:rPr>
          <w:rFonts w:ascii="Calibri" w:hAnsi="Calibri" w:cs="Calibri"/>
          <w:lang w:val="sr-Latn-BA"/>
        </w:rPr>
        <w:t xml:space="preserve"> </w:t>
      </w:r>
      <w:r w:rsidR="00C34C78" w:rsidRPr="007352B3">
        <w:rPr>
          <w:rFonts w:ascii="Calibri" w:hAnsi="Calibri" w:cs="Calibri"/>
          <w:lang w:val="sr-Latn-BA"/>
        </w:rPr>
        <w:t xml:space="preserve">posljedica </w:t>
      </w:r>
      <w:r w:rsidR="00012CE6" w:rsidRPr="007352B3">
        <w:rPr>
          <w:rFonts w:ascii="Calibri" w:hAnsi="Calibri" w:cs="Calibri"/>
          <w:lang w:val="sr-Latn-BA"/>
        </w:rPr>
        <w:t>isplate udjela.</w:t>
      </w:r>
    </w:p>
    <w:p w:rsidR="00052AF4" w:rsidRPr="007352B3" w:rsidRDefault="00052AF4" w:rsidP="00052AF4">
      <w:pPr>
        <w:jc w:val="both"/>
        <w:rPr>
          <w:rFonts w:ascii="Calibri" w:hAnsi="Calibri" w:cs="Calibri"/>
          <w:lang w:val="sr-Latn-BA"/>
        </w:rPr>
      </w:pPr>
      <w:r w:rsidRPr="007352B3">
        <w:rPr>
          <w:rFonts w:ascii="Calibri" w:hAnsi="Calibri" w:cs="Calibri"/>
          <w:lang w:val="sr-Latn-BA"/>
        </w:rPr>
        <w:t xml:space="preserve">Obaveze iznose </w:t>
      </w:r>
      <w:r w:rsidR="007352B3" w:rsidRPr="007352B3">
        <w:rPr>
          <w:rFonts w:ascii="Calibri" w:hAnsi="Calibri" w:cs="Calibri"/>
          <w:lang w:val="sr-Latn-BA"/>
        </w:rPr>
        <w:t>5</w:t>
      </w:r>
      <w:r w:rsidR="00932BEC" w:rsidRPr="007352B3">
        <w:rPr>
          <w:rFonts w:ascii="Calibri" w:hAnsi="Calibri" w:cs="Calibri"/>
          <w:lang w:val="sr-Latn-BA"/>
        </w:rPr>
        <w:t>26</w:t>
      </w:r>
      <w:r w:rsidR="00012CE6" w:rsidRPr="007352B3">
        <w:rPr>
          <w:rFonts w:ascii="Calibri" w:hAnsi="Calibri" w:cs="Calibri"/>
          <w:lang w:val="sr-Latn-BA"/>
        </w:rPr>
        <w:t>.</w:t>
      </w:r>
      <w:r w:rsidR="007352B3" w:rsidRPr="007352B3">
        <w:rPr>
          <w:rFonts w:ascii="Calibri" w:hAnsi="Calibri" w:cs="Calibri"/>
          <w:lang w:val="sr-Latn-BA"/>
        </w:rPr>
        <w:t>578</w:t>
      </w:r>
      <w:r w:rsidR="00C57530" w:rsidRPr="007352B3">
        <w:rPr>
          <w:rFonts w:ascii="Calibri" w:hAnsi="Calibri" w:cs="Calibri"/>
          <w:lang w:val="sr-Latn-BA"/>
        </w:rPr>
        <w:t xml:space="preserve"> </w:t>
      </w:r>
      <w:r w:rsidRPr="007352B3">
        <w:rPr>
          <w:rFonts w:ascii="Calibri" w:hAnsi="Calibri" w:cs="Calibri"/>
          <w:lang w:val="sr-Latn-BA"/>
        </w:rPr>
        <w:t>KM i čine</w:t>
      </w:r>
      <w:r w:rsidR="00AC5837" w:rsidRPr="007352B3">
        <w:rPr>
          <w:rFonts w:ascii="Calibri" w:hAnsi="Calibri" w:cs="Calibri"/>
          <w:lang w:val="sr-Latn-BA"/>
        </w:rPr>
        <w:t xml:space="preserve"> ih</w:t>
      </w:r>
      <w:r w:rsidR="00C57530" w:rsidRPr="007352B3">
        <w:rPr>
          <w:rFonts w:ascii="Calibri" w:hAnsi="Calibri" w:cs="Calibri"/>
          <w:lang w:val="sr-Latn-BA"/>
        </w:rPr>
        <w:t xml:space="preserve"> </w:t>
      </w:r>
      <w:r w:rsidR="00842F07" w:rsidRPr="007352B3">
        <w:rPr>
          <w:rFonts w:ascii="Calibri" w:hAnsi="Calibri" w:cs="Calibri"/>
          <w:lang w:val="sr-Latn-BA"/>
        </w:rPr>
        <w:t>većinom</w:t>
      </w:r>
      <w:r w:rsidR="00C57530" w:rsidRPr="007352B3">
        <w:rPr>
          <w:rFonts w:ascii="Calibri" w:hAnsi="Calibri" w:cs="Calibri"/>
          <w:lang w:val="sr-Latn-BA"/>
        </w:rPr>
        <w:t xml:space="preserve"> </w:t>
      </w:r>
      <w:r w:rsidR="008068DF" w:rsidRPr="007352B3">
        <w:rPr>
          <w:rFonts w:ascii="Calibri" w:hAnsi="Calibri" w:cs="Calibri"/>
          <w:lang w:val="sr-Latn-BA"/>
        </w:rPr>
        <w:t xml:space="preserve">obaveze </w:t>
      </w:r>
      <w:r w:rsidR="00C57530" w:rsidRPr="007352B3">
        <w:rPr>
          <w:rFonts w:ascii="Calibri" w:hAnsi="Calibri" w:cs="Calibri"/>
          <w:lang w:val="sr-Latn-BA"/>
        </w:rPr>
        <w:t>prema društvu za u</w:t>
      </w:r>
      <w:r w:rsidR="006F5F1D" w:rsidRPr="007352B3">
        <w:rPr>
          <w:rFonts w:ascii="Calibri" w:hAnsi="Calibri" w:cs="Calibri"/>
          <w:lang w:val="sr-Latn-BA"/>
        </w:rPr>
        <w:t>pravljanje</w:t>
      </w:r>
      <w:r w:rsidR="00842F07" w:rsidRPr="007352B3">
        <w:rPr>
          <w:rFonts w:ascii="Calibri" w:hAnsi="Calibri" w:cs="Calibri"/>
          <w:lang w:val="sr-Latn-BA"/>
        </w:rPr>
        <w:t>, a manjim dijelom</w:t>
      </w:r>
      <w:r w:rsidR="00C57530" w:rsidRPr="007352B3">
        <w:rPr>
          <w:rFonts w:ascii="Calibri" w:hAnsi="Calibri" w:cs="Calibri"/>
          <w:lang w:val="sr-Latn-BA"/>
        </w:rPr>
        <w:t xml:space="preserve"> </w:t>
      </w:r>
      <w:r w:rsidR="006F5F1D" w:rsidRPr="007352B3">
        <w:rPr>
          <w:rFonts w:ascii="Calibri" w:hAnsi="Calibri" w:cs="Calibri"/>
          <w:lang w:val="sr-Latn-BA"/>
        </w:rPr>
        <w:t>obaveze po osnovu otkupa udjela.</w:t>
      </w:r>
    </w:p>
    <w:p w:rsidR="00052AF4" w:rsidRPr="007352B3" w:rsidRDefault="00052AF4" w:rsidP="00052AF4">
      <w:pPr>
        <w:jc w:val="both"/>
        <w:rPr>
          <w:rFonts w:ascii="Calibri" w:hAnsi="Calibri" w:cs="Calibri"/>
          <w:lang w:val="sr-Latn-BA"/>
        </w:rPr>
      </w:pPr>
      <w:r w:rsidRPr="007352B3">
        <w:rPr>
          <w:rFonts w:ascii="Calibri" w:hAnsi="Calibri" w:cs="Calibri"/>
          <w:lang w:val="sr-Latn-BA"/>
        </w:rPr>
        <w:t xml:space="preserve">Neto imovina </w:t>
      </w:r>
      <w:r w:rsidR="00932BEC" w:rsidRPr="007352B3">
        <w:rPr>
          <w:rFonts w:ascii="Calibri" w:hAnsi="Calibri" w:cs="Calibri"/>
          <w:lang w:val="sr-Latn-BA"/>
        </w:rPr>
        <w:t>Fonda na dan 3</w:t>
      </w:r>
      <w:r w:rsidR="007352B3" w:rsidRPr="007352B3">
        <w:rPr>
          <w:rFonts w:ascii="Calibri" w:hAnsi="Calibri" w:cs="Calibri"/>
          <w:lang w:val="sr-Latn-BA"/>
        </w:rPr>
        <w:t>0</w:t>
      </w:r>
      <w:r w:rsidR="00932BEC" w:rsidRPr="007352B3">
        <w:rPr>
          <w:rFonts w:ascii="Calibri" w:hAnsi="Calibri" w:cs="Calibri"/>
          <w:lang w:val="sr-Latn-BA"/>
        </w:rPr>
        <w:t>.0</w:t>
      </w:r>
      <w:r w:rsidR="007352B3" w:rsidRPr="007352B3">
        <w:rPr>
          <w:rFonts w:ascii="Calibri" w:hAnsi="Calibri" w:cs="Calibri"/>
          <w:lang w:val="sr-Latn-BA"/>
        </w:rPr>
        <w:t>6</w:t>
      </w:r>
      <w:r w:rsidR="00932BEC" w:rsidRPr="007352B3">
        <w:rPr>
          <w:rFonts w:ascii="Calibri" w:hAnsi="Calibri" w:cs="Calibri"/>
          <w:lang w:val="sr-Latn-BA"/>
        </w:rPr>
        <w:t>.202</w:t>
      </w:r>
      <w:r w:rsidR="007352B3" w:rsidRPr="007352B3">
        <w:rPr>
          <w:rFonts w:ascii="Calibri" w:hAnsi="Calibri" w:cs="Calibri"/>
          <w:lang w:val="sr-Latn-BA"/>
        </w:rPr>
        <w:t>2</w:t>
      </w:r>
      <w:r w:rsidR="006F5F1D" w:rsidRPr="007352B3">
        <w:rPr>
          <w:rFonts w:ascii="Calibri" w:hAnsi="Calibri" w:cs="Calibri"/>
          <w:lang w:val="sr-Latn-BA"/>
        </w:rPr>
        <w:t xml:space="preserve">.godine </w:t>
      </w:r>
      <w:r w:rsidRPr="007352B3">
        <w:rPr>
          <w:rFonts w:ascii="Calibri" w:hAnsi="Calibri" w:cs="Calibri"/>
          <w:lang w:val="sr-Latn-BA"/>
        </w:rPr>
        <w:t xml:space="preserve">je za </w:t>
      </w:r>
      <w:r w:rsidR="007352B3" w:rsidRPr="00A940FE">
        <w:rPr>
          <w:rFonts w:ascii="Calibri" w:hAnsi="Calibri" w:cs="Calibri"/>
          <w:lang w:val="sr-Latn-BA"/>
        </w:rPr>
        <w:t>6</w:t>
      </w:r>
      <w:r w:rsidR="00932BEC" w:rsidRPr="00A940FE">
        <w:rPr>
          <w:rFonts w:ascii="Calibri" w:hAnsi="Calibri" w:cs="Calibri"/>
          <w:lang w:val="sr-Latn-BA"/>
        </w:rPr>
        <w:t>,</w:t>
      </w:r>
      <w:r w:rsidR="00875889" w:rsidRPr="00A940FE">
        <w:rPr>
          <w:rFonts w:ascii="Calibri" w:hAnsi="Calibri" w:cs="Calibri"/>
          <w:lang w:val="sr-Latn-BA"/>
        </w:rPr>
        <w:t>27</w:t>
      </w:r>
      <w:r w:rsidR="00DB5BAE" w:rsidRPr="00A940FE">
        <w:rPr>
          <w:rFonts w:ascii="Calibri" w:hAnsi="Calibri" w:cs="Calibri"/>
          <w:lang w:val="sr-Latn-BA"/>
        </w:rPr>
        <w:t>%</w:t>
      </w:r>
      <w:r w:rsidR="00BF5384" w:rsidRPr="007352B3">
        <w:rPr>
          <w:rFonts w:ascii="Calibri" w:hAnsi="Calibri" w:cs="Calibri"/>
          <w:lang w:val="sr-Latn-BA"/>
        </w:rPr>
        <w:t xml:space="preserve"> manja u odnosu na 31.12.</w:t>
      </w:r>
      <w:r w:rsidR="00932BEC" w:rsidRPr="007352B3">
        <w:rPr>
          <w:rFonts w:ascii="Calibri" w:hAnsi="Calibri" w:cs="Calibri"/>
          <w:lang w:val="sr-Latn-BA"/>
        </w:rPr>
        <w:t>202</w:t>
      </w:r>
      <w:r w:rsidR="007352B3" w:rsidRPr="007352B3">
        <w:rPr>
          <w:rFonts w:ascii="Calibri" w:hAnsi="Calibri" w:cs="Calibri"/>
          <w:lang w:val="sr-Latn-BA"/>
        </w:rPr>
        <w:t>1</w:t>
      </w:r>
      <w:r w:rsidR="006F5F1D" w:rsidRPr="007352B3">
        <w:rPr>
          <w:rFonts w:ascii="Calibri" w:hAnsi="Calibri" w:cs="Calibri"/>
          <w:lang w:val="sr-Latn-BA"/>
        </w:rPr>
        <w:t>.godine</w:t>
      </w:r>
      <w:r w:rsidR="00DB5BAE" w:rsidRPr="007352B3">
        <w:rPr>
          <w:rFonts w:ascii="Calibri" w:hAnsi="Calibri" w:cs="Calibri"/>
          <w:lang w:val="sr-Latn-BA"/>
        </w:rPr>
        <w:t xml:space="preserve">, </w:t>
      </w:r>
      <w:r w:rsidR="00BF5384" w:rsidRPr="007352B3">
        <w:rPr>
          <w:rFonts w:ascii="Calibri" w:hAnsi="Calibri" w:cs="Calibri"/>
          <w:lang w:val="sr-Latn-BA"/>
        </w:rPr>
        <w:t>najvećim dijelom</w:t>
      </w:r>
      <w:r w:rsidR="00DB5BAE" w:rsidRPr="007352B3">
        <w:rPr>
          <w:rFonts w:ascii="Calibri" w:hAnsi="Calibri" w:cs="Calibri"/>
          <w:lang w:val="sr-Latn-BA"/>
        </w:rPr>
        <w:t xml:space="preserve"> zbog isplate vlasnika udjela.</w:t>
      </w:r>
    </w:p>
    <w:p w:rsidR="007352B3" w:rsidRPr="007352B3" w:rsidRDefault="00052AF4" w:rsidP="00052AF4">
      <w:pPr>
        <w:jc w:val="both"/>
        <w:rPr>
          <w:rFonts w:ascii="Calibri" w:hAnsi="Calibri" w:cs="Calibri"/>
          <w:lang w:val="sr-Latn-BA"/>
        </w:rPr>
      </w:pPr>
      <w:r w:rsidRPr="007352B3">
        <w:rPr>
          <w:rFonts w:ascii="Calibri" w:hAnsi="Calibri" w:cs="Calibri"/>
          <w:lang w:val="sr-Latn-BA"/>
        </w:rPr>
        <w:t>Vrijednost neto imovine po udjelu na dan 3</w:t>
      </w:r>
      <w:r w:rsidR="007352B3" w:rsidRPr="007352B3">
        <w:rPr>
          <w:rFonts w:ascii="Calibri" w:hAnsi="Calibri" w:cs="Calibri"/>
          <w:lang w:val="sr-Latn-BA"/>
        </w:rPr>
        <w:t>0</w:t>
      </w:r>
      <w:r w:rsidRPr="007352B3">
        <w:rPr>
          <w:rFonts w:ascii="Calibri" w:hAnsi="Calibri" w:cs="Calibri"/>
          <w:lang w:val="sr-Latn-BA"/>
        </w:rPr>
        <w:t>.</w:t>
      </w:r>
      <w:r w:rsidR="00932BEC" w:rsidRPr="007352B3">
        <w:rPr>
          <w:rFonts w:ascii="Calibri" w:hAnsi="Calibri" w:cs="Calibri"/>
          <w:lang w:val="sr-Latn-BA"/>
        </w:rPr>
        <w:t>0</w:t>
      </w:r>
      <w:r w:rsidR="007352B3" w:rsidRPr="007352B3">
        <w:rPr>
          <w:rFonts w:ascii="Calibri" w:hAnsi="Calibri" w:cs="Calibri"/>
          <w:lang w:val="sr-Latn-BA"/>
        </w:rPr>
        <w:t>6</w:t>
      </w:r>
      <w:r w:rsidR="00932BEC" w:rsidRPr="007352B3">
        <w:rPr>
          <w:rFonts w:ascii="Calibri" w:hAnsi="Calibri" w:cs="Calibri"/>
          <w:lang w:val="sr-Latn-BA"/>
        </w:rPr>
        <w:t>.202</w:t>
      </w:r>
      <w:r w:rsidR="007352B3" w:rsidRPr="007352B3">
        <w:rPr>
          <w:rFonts w:ascii="Calibri" w:hAnsi="Calibri" w:cs="Calibri"/>
          <w:lang w:val="sr-Latn-BA"/>
        </w:rPr>
        <w:t>2</w:t>
      </w:r>
      <w:r w:rsidRPr="007352B3">
        <w:rPr>
          <w:rFonts w:ascii="Calibri" w:hAnsi="Calibri" w:cs="Calibri"/>
          <w:lang w:val="sr-Latn-BA"/>
        </w:rPr>
        <w:t>.</w:t>
      </w:r>
      <w:r w:rsidR="00DB5BAE" w:rsidRPr="007352B3">
        <w:rPr>
          <w:rFonts w:ascii="Calibri" w:hAnsi="Calibri" w:cs="Calibri"/>
          <w:lang w:val="sr-Latn-BA"/>
        </w:rPr>
        <w:t>godine</w:t>
      </w:r>
      <w:r w:rsidRPr="007352B3">
        <w:rPr>
          <w:rFonts w:ascii="Calibri" w:hAnsi="Calibri" w:cs="Calibri"/>
          <w:lang w:val="sr-Latn-BA"/>
        </w:rPr>
        <w:t xml:space="preserve"> iznosila je </w:t>
      </w:r>
      <w:r w:rsidR="007352B3" w:rsidRPr="007352B3">
        <w:rPr>
          <w:rFonts w:ascii="Calibri" w:hAnsi="Calibri" w:cs="Calibri"/>
          <w:lang w:val="sr-Latn-BA"/>
        </w:rPr>
        <w:t>14</w:t>
      </w:r>
      <w:r w:rsidR="00932BEC" w:rsidRPr="007352B3">
        <w:rPr>
          <w:rFonts w:ascii="Calibri" w:hAnsi="Calibri" w:cs="Calibri"/>
          <w:lang w:val="sr-Latn-BA"/>
        </w:rPr>
        <w:t>,</w:t>
      </w:r>
      <w:r w:rsidR="007352B3" w:rsidRPr="007352B3">
        <w:rPr>
          <w:rFonts w:ascii="Calibri" w:hAnsi="Calibri" w:cs="Calibri"/>
          <w:lang w:val="sr-Latn-BA"/>
        </w:rPr>
        <w:t>8057</w:t>
      </w:r>
      <w:r w:rsidR="00C57530" w:rsidRPr="007352B3">
        <w:rPr>
          <w:rFonts w:ascii="Calibri" w:hAnsi="Calibri" w:cs="Calibri"/>
          <w:lang w:val="sr-Latn-BA"/>
        </w:rPr>
        <w:t xml:space="preserve"> </w:t>
      </w:r>
      <w:r w:rsidRPr="007352B3">
        <w:rPr>
          <w:rFonts w:ascii="Calibri" w:hAnsi="Calibri" w:cs="Calibri"/>
          <w:lang w:val="sr-Latn-BA"/>
        </w:rPr>
        <w:t xml:space="preserve">KM, i za </w:t>
      </w:r>
      <w:r w:rsidR="007352B3" w:rsidRPr="00A940FE">
        <w:rPr>
          <w:rFonts w:ascii="Calibri" w:hAnsi="Calibri" w:cs="Calibri"/>
          <w:lang w:val="sr-Latn-BA"/>
        </w:rPr>
        <w:t>3</w:t>
      </w:r>
      <w:r w:rsidR="00932BEC" w:rsidRPr="00A940FE">
        <w:rPr>
          <w:rFonts w:ascii="Calibri" w:hAnsi="Calibri" w:cs="Calibri"/>
          <w:lang w:val="sr-Latn-BA"/>
        </w:rPr>
        <w:t>,</w:t>
      </w:r>
      <w:r w:rsidR="00875889" w:rsidRPr="00A940FE">
        <w:rPr>
          <w:rFonts w:ascii="Calibri" w:hAnsi="Calibri" w:cs="Calibri"/>
          <w:lang w:val="sr-Latn-BA"/>
        </w:rPr>
        <w:t>86</w:t>
      </w:r>
      <w:r w:rsidRPr="00A940FE">
        <w:rPr>
          <w:rFonts w:ascii="Calibri" w:hAnsi="Calibri" w:cs="Calibri"/>
          <w:lang w:val="sr-Latn-BA"/>
        </w:rPr>
        <w:t>% je</w:t>
      </w:r>
      <w:r w:rsidRPr="007352B3">
        <w:rPr>
          <w:rFonts w:ascii="Calibri" w:hAnsi="Calibri" w:cs="Calibri"/>
          <w:lang w:val="sr-Latn-BA"/>
        </w:rPr>
        <w:t xml:space="preserve"> </w:t>
      </w:r>
      <w:r w:rsidR="00932BEC" w:rsidRPr="007352B3">
        <w:rPr>
          <w:rFonts w:ascii="Calibri" w:hAnsi="Calibri" w:cs="Calibri"/>
          <w:lang w:val="sr-Latn-BA"/>
        </w:rPr>
        <w:t>veća u odnosu na 31.12.202</w:t>
      </w:r>
      <w:r w:rsidR="007352B3" w:rsidRPr="007352B3">
        <w:rPr>
          <w:rFonts w:ascii="Calibri" w:hAnsi="Calibri" w:cs="Calibri"/>
          <w:lang w:val="sr-Latn-BA"/>
        </w:rPr>
        <w:t>1</w:t>
      </w:r>
      <w:r w:rsidRPr="007352B3">
        <w:rPr>
          <w:rFonts w:ascii="Calibri" w:hAnsi="Calibri" w:cs="Calibri"/>
          <w:lang w:val="sr-Latn-BA"/>
        </w:rPr>
        <w:t xml:space="preserve">.godine. </w:t>
      </w:r>
    </w:p>
    <w:p w:rsidR="00052AF4" w:rsidRPr="00B75A82" w:rsidRDefault="00EA6D4E" w:rsidP="00052AF4">
      <w:pPr>
        <w:jc w:val="both"/>
        <w:rPr>
          <w:rFonts w:ascii="Calibri" w:hAnsi="Calibri" w:cs="Calibri"/>
          <w:lang w:val="sr-Latn-BA"/>
        </w:rPr>
      </w:pPr>
      <w:r w:rsidRPr="007352B3">
        <w:rPr>
          <w:rFonts w:ascii="Calibri" w:hAnsi="Calibri" w:cs="Calibri"/>
          <w:lang w:val="sr-Latn-BA"/>
        </w:rPr>
        <w:t>Ukupan br</w:t>
      </w:r>
      <w:r w:rsidR="008068DF" w:rsidRPr="007352B3">
        <w:rPr>
          <w:rFonts w:ascii="Calibri" w:hAnsi="Calibri" w:cs="Calibri"/>
          <w:lang w:val="sr-Latn-BA"/>
        </w:rPr>
        <w:t>oj udjela je smanjen</w:t>
      </w:r>
      <w:r w:rsidR="004006CF" w:rsidRPr="007352B3">
        <w:rPr>
          <w:rFonts w:ascii="Calibri" w:hAnsi="Calibri" w:cs="Calibri"/>
          <w:lang w:val="sr-Latn-BA"/>
        </w:rPr>
        <w:t xml:space="preserve"> sa </w:t>
      </w:r>
      <w:r w:rsidR="00932BEC" w:rsidRPr="007352B3">
        <w:rPr>
          <w:rFonts w:ascii="Calibri" w:hAnsi="Calibri" w:cs="Calibri"/>
          <w:lang w:val="sr-Latn-BA"/>
        </w:rPr>
        <w:t>4.</w:t>
      </w:r>
      <w:r w:rsidR="007352B3" w:rsidRPr="007352B3">
        <w:rPr>
          <w:rFonts w:ascii="Calibri" w:hAnsi="Calibri" w:cs="Calibri"/>
          <w:lang w:val="sr-Latn-BA"/>
        </w:rPr>
        <w:t>175</w:t>
      </w:r>
      <w:r w:rsidR="00932BEC" w:rsidRPr="007352B3">
        <w:rPr>
          <w:rFonts w:ascii="Calibri" w:hAnsi="Calibri" w:cs="Calibri"/>
          <w:lang w:val="sr-Latn-BA"/>
        </w:rPr>
        <w:t>.</w:t>
      </w:r>
      <w:r w:rsidR="007352B3" w:rsidRPr="007352B3">
        <w:rPr>
          <w:rFonts w:ascii="Calibri" w:hAnsi="Calibri" w:cs="Calibri"/>
          <w:lang w:val="sr-Latn-BA"/>
        </w:rPr>
        <w:t>925</w:t>
      </w:r>
      <w:r w:rsidR="00932BEC" w:rsidRPr="007352B3">
        <w:rPr>
          <w:rFonts w:ascii="Calibri" w:hAnsi="Calibri" w:cs="Calibri"/>
          <w:lang w:val="sr-Latn-BA"/>
        </w:rPr>
        <w:t xml:space="preserve"> </w:t>
      </w:r>
      <w:r w:rsidR="004006CF" w:rsidRPr="007352B3">
        <w:rPr>
          <w:rFonts w:ascii="Calibri" w:hAnsi="Calibri" w:cs="Calibri"/>
          <w:lang w:val="sr-Latn-BA"/>
        </w:rPr>
        <w:t xml:space="preserve">na </w:t>
      </w:r>
      <w:r w:rsidR="007352B3" w:rsidRPr="007352B3">
        <w:rPr>
          <w:rFonts w:ascii="Calibri" w:hAnsi="Calibri" w:cs="Calibri"/>
          <w:lang w:val="sr-Latn-BA"/>
        </w:rPr>
        <w:t>3</w:t>
      </w:r>
      <w:r w:rsidR="00A32EB5" w:rsidRPr="007352B3">
        <w:rPr>
          <w:rFonts w:ascii="Calibri" w:hAnsi="Calibri" w:cs="Calibri"/>
          <w:lang w:val="sr-Latn-BA"/>
        </w:rPr>
        <w:t>.</w:t>
      </w:r>
      <w:r w:rsidR="007352B3" w:rsidRPr="007352B3">
        <w:rPr>
          <w:rFonts w:ascii="Calibri" w:hAnsi="Calibri" w:cs="Calibri"/>
          <w:lang w:val="sr-Latn-BA"/>
        </w:rPr>
        <w:t>768</w:t>
      </w:r>
      <w:r w:rsidR="00A32EB5" w:rsidRPr="007352B3">
        <w:rPr>
          <w:rFonts w:ascii="Calibri" w:hAnsi="Calibri" w:cs="Calibri"/>
          <w:lang w:val="sr-Latn-BA"/>
        </w:rPr>
        <w:t>.</w:t>
      </w:r>
      <w:r w:rsidR="007352B3" w:rsidRPr="007352B3">
        <w:rPr>
          <w:rFonts w:ascii="Calibri" w:hAnsi="Calibri" w:cs="Calibri"/>
          <w:lang w:val="sr-Latn-BA"/>
        </w:rPr>
        <w:t>493</w:t>
      </w:r>
      <w:r w:rsidR="00842F07" w:rsidRPr="007352B3">
        <w:rPr>
          <w:rFonts w:ascii="Calibri" w:hAnsi="Calibri" w:cs="Calibri"/>
          <w:lang w:val="sr-Latn-BA"/>
        </w:rPr>
        <w:t>,</w:t>
      </w:r>
      <w:r w:rsidR="004006CF" w:rsidRPr="007352B3">
        <w:rPr>
          <w:rFonts w:ascii="Calibri" w:hAnsi="Calibri" w:cs="Calibri"/>
          <w:lang w:val="sr-Latn-BA"/>
        </w:rPr>
        <w:t xml:space="preserve"> </w:t>
      </w:r>
      <w:r w:rsidR="004006CF" w:rsidRPr="00A940FE">
        <w:rPr>
          <w:rFonts w:ascii="Calibri" w:hAnsi="Calibri" w:cs="Calibri"/>
          <w:lang w:val="sr-Latn-BA"/>
        </w:rPr>
        <w:t xml:space="preserve">odnosno za </w:t>
      </w:r>
      <w:r w:rsidR="00A32EB5" w:rsidRPr="00A940FE">
        <w:rPr>
          <w:rFonts w:ascii="Calibri" w:hAnsi="Calibri" w:cs="Calibri"/>
          <w:lang w:val="sr-Latn-BA"/>
        </w:rPr>
        <w:t>9,</w:t>
      </w:r>
      <w:r w:rsidR="00875889" w:rsidRPr="00A940FE">
        <w:rPr>
          <w:rFonts w:ascii="Calibri" w:hAnsi="Calibri" w:cs="Calibri"/>
          <w:lang w:val="sr-Latn-BA"/>
        </w:rPr>
        <w:t>76</w:t>
      </w:r>
      <w:r w:rsidR="004006CF" w:rsidRPr="00A940FE">
        <w:rPr>
          <w:rFonts w:ascii="Calibri" w:hAnsi="Calibri" w:cs="Calibri"/>
          <w:lang w:val="sr-Latn-BA"/>
        </w:rPr>
        <w:t>%</w:t>
      </w:r>
      <w:r w:rsidRPr="00A940FE">
        <w:rPr>
          <w:rFonts w:ascii="Calibri" w:hAnsi="Calibri" w:cs="Calibri"/>
          <w:lang w:val="sr-Latn-BA"/>
        </w:rPr>
        <w:t>.</w:t>
      </w:r>
      <w:bookmarkStart w:id="1" w:name="_GoBack"/>
      <w:bookmarkEnd w:id="1"/>
    </w:p>
    <w:p w:rsidR="00F42264" w:rsidRDefault="00F42264" w:rsidP="00052AF4">
      <w:pPr>
        <w:jc w:val="both"/>
        <w:rPr>
          <w:rFonts w:ascii="Calibri" w:hAnsi="Calibri" w:cs="Calibri"/>
          <w:lang w:val="sr-Latn-BA"/>
        </w:rPr>
      </w:pPr>
    </w:p>
    <w:p w:rsidR="005B4953" w:rsidRDefault="005B4953" w:rsidP="00052AF4">
      <w:pPr>
        <w:jc w:val="both"/>
        <w:rPr>
          <w:rFonts w:ascii="Calibri" w:hAnsi="Calibri" w:cs="Calibri"/>
          <w:lang w:val="sr-Latn-BA"/>
        </w:rPr>
      </w:pPr>
    </w:p>
    <w:p w:rsidR="005B4953" w:rsidRPr="00B75A82" w:rsidRDefault="005B4953" w:rsidP="00052AF4">
      <w:pPr>
        <w:jc w:val="both"/>
        <w:rPr>
          <w:rFonts w:ascii="Calibri" w:hAnsi="Calibri" w:cs="Calibri"/>
          <w:lang w:val="sr-Latn-BA"/>
        </w:rPr>
      </w:pPr>
    </w:p>
    <w:p w:rsidR="00052AF4" w:rsidRPr="00686446" w:rsidRDefault="00052AF4">
      <w:pPr>
        <w:rPr>
          <w:rFonts w:ascii="Calibri" w:hAnsi="Calibri" w:cs="Calibri"/>
        </w:rPr>
      </w:pPr>
    </w:p>
    <w:p w:rsidR="00C57530" w:rsidRPr="00686446" w:rsidRDefault="0072326B" w:rsidP="00C57530">
      <w:pPr>
        <w:jc w:val="right"/>
        <w:rPr>
          <w:rFonts w:ascii="Calibri" w:hAnsi="Calibri" w:cs="Calibri"/>
        </w:rPr>
      </w:pPr>
      <w:r w:rsidRPr="00686446">
        <w:rPr>
          <w:rFonts w:ascii="Calibri" w:hAnsi="Calibri" w:cs="Calibri"/>
        </w:rPr>
        <w:t xml:space="preserve">Banja Luka, </w:t>
      </w:r>
      <w:r w:rsidR="00FD77B3">
        <w:rPr>
          <w:rFonts w:ascii="Calibri" w:hAnsi="Calibri" w:cs="Calibri"/>
        </w:rPr>
        <w:t>jul</w:t>
      </w:r>
      <w:r w:rsidR="00D84F82" w:rsidRPr="00686446">
        <w:rPr>
          <w:rFonts w:ascii="Calibri" w:hAnsi="Calibri" w:cs="Calibri"/>
        </w:rPr>
        <w:t xml:space="preserve"> 20</w:t>
      </w:r>
      <w:r w:rsidR="00FD77B3">
        <w:rPr>
          <w:rFonts w:ascii="Calibri" w:hAnsi="Calibri" w:cs="Calibri"/>
        </w:rPr>
        <w:t>22</w:t>
      </w:r>
      <w:r w:rsidR="00831961" w:rsidRPr="00686446">
        <w:rPr>
          <w:rFonts w:ascii="Calibri" w:hAnsi="Calibri" w:cs="Calibri"/>
        </w:rPr>
        <w:t>.</w:t>
      </w:r>
      <w:r w:rsidR="00750C1D" w:rsidRPr="00686446">
        <w:rPr>
          <w:rFonts w:ascii="Calibri" w:hAnsi="Calibri" w:cs="Calibri"/>
        </w:rPr>
        <w:t>godin</w:t>
      </w:r>
      <w:r w:rsidR="00487003" w:rsidRPr="00686446">
        <w:rPr>
          <w:rFonts w:ascii="Calibri" w:hAnsi="Calibri" w:cs="Calibri"/>
        </w:rPr>
        <w:t>e</w:t>
      </w:r>
    </w:p>
    <w:p w:rsidR="007F7C34" w:rsidRDefault="007F7C34">
      <w:pPr>
        <w:rPr>
          <w:rFonts w:ascii="Calibri" w:hAnsi="Calibri" w:cs="Calibri"/>
        </w:rPr>
      </w:pPr>
    </w:p>
    <w:p w:rsidR="00930DFE" w:rsidRPr="00686446" w:rsidRDefault="00930DFE">
      <w:pPr>
        <w:rPr>
          <w:rFonts w:ascii="Calibri" w:hAnsi="Calibri" w:cs="Calibri"/>
        </w:rPr>
      </w:pPr>
    </w:p>
    <w:p w:rsidR="007F7C34" w:rsidRPr="00006F10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Izvršni direktori:</w:t>
      </w:r>
    </w:p>
    <w:p w:rsidR="007F7C34" w:rsidRPr="00006F10" w:rsidRDefault="007F7C34" w:rsidP="007F7C34">
      <w:pPr>
        <w:jc w:val="center"/>
        <w:rPr>
          <w:rFonts w:ascii="Calibri" w:hAnsi="Calibri" w:cs="Calibri"/>
        </w:rPr>
      </w:pPr>
    </w:p>
    <w:p w:rsidR="007F7C34" w:rsidRPr="00006F10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_______________        ______________</w:t>
      </w:r>
    </w:p>
    <w:p w:rsidR="009C4756" w:rsidRPr="00686446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Nenad Tomović             Goran Klincov</w:t>
      </w:r>
    </w:p>
    <w:sectPr w:rsidR="009C4756" w:rsidRPr="00686446" w:rsidSect="00BF4E58"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93" w:rsidRDefault="003A0293" w:rsidP="00746C85">
      <w:r>
        <w:separator/>
      </w:r>
    </w:p>
  </w:endnote>
  <w:endnote w:type="continuationSeparator" w:id="0">
    <w:p w:rsidR="003A0293" w:rsidRDefault="003A0293" w:rsidP="0074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BF" w:rsidRDefault="000A68B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40FE">
      <w:rPr>
        <w:noProof/>
      </w:rPr>
      <w:t>9</w:t>
    </w:r>
    <w:r>
      <w:rPr>
        <w:noProof/>
      </w:rPr>
      <w:fldChar w:fldCharType="end"/>
    </w:r>
  </w:p>
  <w:p w:rsidR="000A68BF" w:rsidRDefault="000A68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93" w:rsidRDefault="003A0293" w:rsidP="00746C85">
      <w:r>
        <w:separator/>
      </w:r>
    </w:p>
  </w:footnote>
  <w:footnote w:type="continuationSeparator" w:id="0">
    <w:p w:rsidR="003A0293" w:rsidRDefault="003A0293" w:rsidP="0074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E15"/>
    <w:multiLevelType w:val="hybridMultilevel"/>
    <w:tmpl w:val="C8EED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31302"/>
    <w:multiLevelType w:val="hybridMultilevel"/>
    <w:tmpl w:val="DDF47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D66D9"/>
    <w:multiLevelType w:val="hybridMultilevel"/>
    <w:tmpl w:val="69CA049C"/>
    <w:lvl w:ilvl="0" w:tplc="9DF0A19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D5CA2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B1B3B7E"/>
    <w:multiLevelType w:val="hybridMultilevel"/>
    <w:tmpl w:val="9B161000"/>
    <w:lvl w:ilvl="0" w:tplc="F508C2BE">
      <w:start w:val="1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5964362"/>
    <w:multiLevelType w:val="hybridMultilevel"/>
    <w:tmpl w:val="ED36CD62"/>
    <w:lvl w:ilvl="0" w:tplc="21DC51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C4B4D"/>
    <w:multiLevelType w:val="hybridMultilevel"/>
    <w:tmpl w:val="1EF4D762"/>
    <w:lvl w:ilvl="0" w:tplc="471EA3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160B7"/>
    <w:multiLevelType w:val="hybridMultilevel"/>
    <w:tmpl w:val="9576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33D6A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B8E0FCF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D6D7557"/>
    <w:multiLevelType w:val="hybridMultilevel"/>
    <w:tmpl w:val="B6D23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9D34AF"/>
    <w:multiLevelType w:val="hybridMultilevel"/>
    <w:tmpl w:val="3A6219BA"/>
    <w:lvl w:ilvl="0" w:tplc="2806F8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B4A95"/>
    <w:multiLevelType w:val="hybridMultilevel"/>
    <w:tmpl w:val="DA162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1D5F3A"/>
    <w:multiLevelType w:val="hybridMultilevel"/>
    <w:tmpl w:val="1F683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355477"/>
    <w:multiLevelType w:val="hybridMultilevel"/>
    <w:tmpl w:val="55AAE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E23BE4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10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2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64"/>
    <w:rsid w:val="00000582"/>
    <w:rsid w:val="000012B2"/>
    <w:rsid w:val="00001AA4"/>
    <w:rsid w:val="00002CC0"/>
    <w:rsid w:val="0000393A"/>
    <w:rsid w:val="00007753"/>
    <w:rsid w:val="0001253D"/>
    <w:rsid w:val="00012CE6"/>
    <w:rsid w:val="00014E52"/>
    <w:rsid w:val="000156E7"/>
    <w:rsid w:val="0002226C"/>
    <w:rsid w:val="00026D41"/>
    <w:rsid w:val="000358F9"/>
    <w:rsid w:val="0003783B"/>
    <w:rsid w:val="0004458C"/>
    <w:rsid w:val="0004515D"/>
    <w:rsid w:val="00051D06"/>
    <w:rsid w:val="00052AF4"/>
    <w:rsid w:val="00055F28"/>
    <w:rsid w:val="00064A90"/>
    <w:rsid w:val="00070289"/>
    <w:rsid w:val="000855AB"/>
    <w:rsid w:val="00085F43"/>
    <w:rsid w:val="0008793E"/>
    <w:rsid w:val="00092912"/>
    <w:rsid w:val="00094884"/>
    <w:rsid w:val="00094C1F"/>
    <w:rsid w:val="00094D34"/>
    <w:rsid w:val="00096495"/>
    <w:rsid w:val="000A13E4"/>
    <w:rsid w:val="000A557C"/>
    <w:rsid w:val="000A68BF"/>
    <w:rsid w:val="000B14A6"/>
    <w:rsid w:val="000B1C1C"/>
    <w:rsid w:val="000B377F"/>
    <w:rsid w:val="000B4438"/>
    <w:rsid w:val="000B4B2D"/>
    <w:rsid w:val="000D01D7"/>
    <w:rsid w:val="000D2CE0"/>
    <w:rsid w:val="000D46E1"/>
    <w:rsid w:val="000E6DEA"/>
    <w:rsid w:val="000F75D5"/>
    <w:rsid w:val="0010227A"/>
    <w:rsid w:val="00103B33"/>
    <w:rsid w:val="001107DD"/>
    <w:rsid w:val="0011425F"/>
    <w:rsid w:val="00116AAA"/>
    <w:rsid w:val="00122C0A"/>
    <w:rsid w:val="0012442B"/>
    <w:rsid w:val="0012483D"/>
    <w:rsid w:val="00132CE9"/>
    <w:rsid w:val="0013426F"/>
    <w:rsid w:val="00135D4D"/>
    <w:rsid w:val="00136E8B"/>
    <w:rsid w:val="00137832"/>
    <w:rsid w:val="00137DC4"/>
    <w:rsid w:val="00141D2A"/>
    <w:rsid w:val="00141EE1"/>
    <w:rsid w:val="0014261C"/>
    <w:rsid w:val="00145C28"/>
    <w:rsid w:val="00150CFC"/>
    <w:rsid w:val="00151ECD"/>
    <w:rsid w:val="00156D22"/>
    <w:rsid w:val="00166143"/>
    <w:rsid w:val="00166CD5"/>
    <w:rsid w:val="001720C0"/>
    <w:rsid w:val="0017516A"/>
    <w:rsid w:val="00176160"/>
    <w:rsid w:val="00180725"/>
    <w:rsid w:val="00181048"/>
    <w:rsid w:val="00193005"/>
    <w:rsid w:val="001A2194"/>
    <w:rsid w:val="001A27EE"/>
    <w:rsid w:val="001A417A"/>
    <w:rsid w:val="001B2583"/>
    <w:rsid w:val="001B3D94"/>
    <w:rsid w:val="001B77E4"/>
    <w:rsid w:val="001C1C35"/>
    <w:rsid w:val="001C35B9"/>
    <w:rsid w:val="001C480D"/>
    <w:rsid w:val="001D772D"/>
    <w:rsid w:val="001E2161"/>
    <w:rsid w:val="001E3A21"/>
    <w:rsid w:val="001F069A"/>
    <w:rsid w:val="001F2462"/>
    <w:rsid w:val="001F2861"/>
    <w:rsid w:val="001F3743"/>
    <w:rsid w:val="001F3F6F"/>
    <w:rsid w:val="001F6D3E"/>
    <w:rsid w:val="00201CDD"/>
    <w:rsid w:val="002024FD"/>
    <w:rsid w:val="002032CC"/>
    <w:rsid w:val="00204164"/>
    <w:rsid w:val="00214338"/>
    <w:rsid w:val="00225DC7"/>
    <w:rsid w:val="0022716B"/>
    <w:rsid w:val="00230824"/>
    <w:rsid w:val="002310FE"/>
    <w:rsid w:val="0023191E"/>
    <w:rsid w:val="00236461"/>
    <w:rsid w:val="00236FB5"/>
    <w:rsid w:val="00240B77"/>
    <w:rsid w:val="0024228F"/>
    <w:rsid w:val="00242ED2"/>
    <w:rsid w:val="00244701"/>
    <w:rsid w:val="00250738"/>
    <w:rsid w:val="00251526"/>
    <w:rsid w:val="002521A2"/>
    <w:rsid w:val="00252D06"/>
    <w:rsid w:val="00256BDA"/>
    <w:rsid w:val="002571FC"/>
    <w:rsid w:val="00260775"/>
    <w:rsid w:val="00263576"/>
    <w:rsid w:val="00267093"/>
    <w:rsid w:val="002671AB"/>
    <w:rsid w:val="0026743E"/>
    <w:rsid w:val="00276CA5"/>
    <w:rsid w:val="00280251"/>
    <w:rsid w:val="00281A5E"/>
    <w:rsid w:val="00287790"/>
    <w:rsid w:val="00291386"/>
    <w:rsid w:val="00294330"/>
    <w:rsid w:val="002954D1"/>
    <w:rsid w:val="00295875"/>
    <w:rsid w:val="00297060"/>
    <w:rsid w:val="002A12A1"/>
    <w:rsid w:val="002A321C"/>
    <w:rsid w:val="002A469C"/>
    <w:rsid w:val="002A481C"/>
    <w:rsid w:val="002A54ED"/>
    <w:rsid w:val="002A718E"/>
    <w:rsid w:val="002A7FD2"/>
    <w:rsid w:val="002B2E70"/>
    <w:rsid w:val="002B3605"/>
    <w:rsid w:val="002B5C81"/>
    <w:rsid w:val="002D25BB"/>
    <w:rsid w:val="002E4AA2"/>
    <w:rsid w:val="002F02A4"/>
    <w:rsid w:val="002F49EC"/>
    <w:rsid w:val="002F6F97"/>
    <w:rsid w:val="00301296"/>
    <w:rsid w:val="003035D6"/>
    <w:rsid w:val="00304228"/>
    <w:rsid w:val="00304D16"/>
    <w:rsid w:val="00304DAF"/>
    <w:rsid w:val="00304E1B"/>
    <w:rsid w:val="00306CE7"/>
    <w:rsid w:val="00311E35"/>
    <w:rsid w:val="00315ADF"/>
    <w:rsid w:val="00315B97"/>
    <w:rsid w:val="00330C28"/>
    <w:rsid w:val="003321EE"/>
    <w:rsid w:val="003419F6"/>
    <w:rsid w:val="0034280D"/>
    <w:rsid w:val="00344109"/>
    <w:rsid w:val="003443D3"/>
    <w:rsid w:val="003449DA"/>
    <w:rsid w:val="00352B5A"/>
    <w:rsid w:val="00353C2E"/>
    <w:rsid w:val="0035497D"/>
    <w:rsid w:val="003566AC"/>
    <w:rsid w:val="0036113B"/>
    <w:rsid w:val="0036204E"/>
    <w:rsid w:val="0036780F"/>
    <w:rsid w:val="00367D14"/>
    <w:rsid w:val="003775EE"/>
    <w:rsid w:val="003805A1"/>
    <w:rsid w:val="00380D53"/>
    <w:rsid w:val="003816CC"/>
    <w:rsid w:val="0038200C"/>
    <w:rsid w:val="0038430C"/>
    <w:rsid w:val="00387A2B"/>
    <w:rsid w:val="00390B1D"/>
    <w:rsid w:val="003918FE"/>
    <w:rsid w:val="003952BD"/>
    <w:rsid w:val="00396FE5"/>
    <w:rsid w:val="00397CF7"/>
    <w:rsid w:val="00397D71"/>
    <w:rsid w:val="003A0293"/>
    <w:rsid w:val="003A1426"/>
    <w:rsid w:val="003A52AE"/>
    <w:rsid w:val="003B0E29"/>
    <w:rsid w:val="003B4624"/>
    <w:rsid w:val="003B627E"/>
    <w:rsid w:val="003C0D88"/>
    <w:rsid w:val="003C5019"/>
    <w:rsid w:val="003D011A"/>
    <w:rsid w:val="003D0F17"/>
    <w:rsid w:val="003D5267"/>
    <w:rsid w:val="003D5D54"/>
    <w:rsid w:val="003E2784"/>
    <w:rsid w:val="003E285E"/>
    <w:rsid w:val="003E2C60"/>
    <w:rsid w:val="003F2684"/>
    <w:rsid w:val="003F57A5"/>
    <w:rsid w:val="003F62A9"/>
    <w:rsid w:val="004006CF"/>
    <w:rsid w:val="00404EA7"/>
    <w:rsid w:val="00406206"/>
    <w:rsid w:val="00406B51"/>
    <w:rsid w:val="00412718"/>
    <w:rsid w:val="004222A3"/>
    <w:rsid w:val="00424573"/>
    <w:rsid w:val="0042459A"/>
    <w:rsid w:val="00427C42"/>
    <w:rsid w:val="0043418C"/>
    <w:rsid w:val="00434586"/>
    <w:rsid w:val="004432F5"/>
    <w:rsid w:val="00445B19"/>
    <w:rsid w:val="004463C8"/>
    <w:rsid w:val="004471A7"/>
    <w:rsid w:val="00453098"/>
    <w:rsid w:val="004555DF"/>
    <w:rsid w:val="0045650F"/>
    <w:rsid w:val="004566A5"/>
    <w:rsid w:val="00464C3F"/>
    <w:rsid w:val="00464EBB"/>
    <w:rsid w:val="00466342"/>
    <w:rsid w:val="00467F22"/>
    <w:rsid w:val="004706EB"/>
    <w:rsid w:val="00470C78"/>
    <w:rsid w:val="00470FEF"/>
    <w:rsid w:val="00475E6E"/>
    <w:rsid w:val="00476EC7"/>
    <w:rsid w:val="00480521"/>
    <w:rsid w:val="00480B0A"/>
    <w:rsid w:val="004835A1"/>
    <w:rsid w:val="00487003"/>
    <w:rsid w:val="004935B0"/>
    <w:rsid w:val="004978F7"/>
    <w:rsid w:val="004A2F4C"/>
    <w:rsid w:val="004A53FD"/>
    <w:rsid w:val="004B10EF"/>
    <w:rsid w:val="004B2DCC"/>
    <w:rsid w:val="004B35EE"/>
    <w:rsid w:val="004B52A9"/>
    <w:rsid w:val="004B52D9"/>
    <w:rsid w:val="004C1E16"/>
    <w:rsid w:val="004C1E67"/>
    <w:rsid w:val="004C3C6D"/>
    <w:rsid w:val="004C46E7"/>
    <w:rsid w:val="004C5B89"/>
    <w:rsid w:val="004C7334"/>
    <w:rsid w:val="004E070F"/>
    <w:rsid w:val="004E0C19"/>
    <w:rsid w:val="004E48AD"/>
    <w:rsid w:val="004E4AAD"/>
    <w:rsid w:val="004F12DD"/>
    <w:rsid w:val="004F2F59"/>
    <w:rsid w:val="004F3A5F"/>
    <w:rsid w:val="004F45B6"/>
    <w:rsid w:val="00503C51"/>
    <w:rsid w:val="00505338"/>
    <w:rsid w:val="00507F92"/>
    <w:rsid w:val="00510BA3"/>
    <w:rsid w:val="00511192"/>
    <w:rsid w:val="005114BB"/>
    <w:rsid w:val="005217BC"/>
    <w:rsid w:val="00542247"/>
    <w:rsid w:val="005444F8"/>
    <w:rsid w:val="005446FF"/>
    <w:rsid w:val="00546CBE"/>
    <w:rsid w:val="00564479"/>
    <w:rsid w:val="00565281"/>
    <w:rsid w:val="00566899"/>
    <w:rsid w:val="00567CC1"/>
    <w:rsid w:val="00571DD7"/>
    <w:rsid w:val="00575431"/>
    <w:rsid w:val="00577F5F"/>
    <w:rsid w:val="00581C16"/>
    <w:rsid w:val="005833C3"/>
    <w:rsid w:val="005854A6"/>
    <w:rsid w:val="005904A3"/>
    <w:rsid w:val="00590F85"/>
    <w:rsid w:val="005977AF"/>
    <w:rsid w:val="005A4F7A"/>
    <w:rsid w:val="005B04B1"/>
    <w:rsid w:val="005B0C58"/>
    <w:rsid w:val="005B2DDF"/>
    <w:rsid w:val="005B425F"/>
    <w:rsid w:val="005B4953"/>
    <w:rsid w:val="005B5177"/>
    <w:rsid w:val="005B6127"/>
    <w:rsid w:val="005B6BD5"/>
    <w:rsid w:val="005B6F3D"/>
    <w:rsid w:val="005C1A3C"/>
    <w:rsid w:val="005C1B45"/>
    <w:rsid w:val="005C1C57"/>
    <w:rsid w:val="005C2ABC"/>
    <w:rsid w:val="005D6492"/>
    <w:rsid w:val="005E0E98"/>
    <w:rsid w:val="005E1319"/>
    <w:rsid w:val="005E1420"/>
    <w:rsid w:val="005E1683"/>
    <w:rsid w:val="005E3249"/>
    <w:rsid w:val="005E48F0"/>
    <w:rsid w:val="005E4C5F"/>
    <w:rsid w:val="005E56AA"/>
    <w:rsid w:val="005E629B"/>
    <w:rsid w:val="005E7D3F"/>
    <w:rsid w:val="005F08D6"/>
    <w:rsid w:val="005F2774"/>
    <w:rsid w:val="00600005"/>
    <w:rsid w:val="00600279"/>
    <w:rsid w:val="00607E94"/>
    <w:rsid w:val="006108A3"/>
    <w:rsid w:val="006109E8"/>
    <w:rsid w:val="006122C6"/>
    <w:rsid w:val="00624018"/>
    <w:rsid w:val="006327FB"/>
    <w:rsid w:val="00633A55"/>
    <w:rsid w:val="00634A71"/>
    <w:rsid w:val="00637EFC"/>
    <w:rsid w:val="00645F2D"/>
    <w:rsid w:val="0064636B"/>
    <w:rsid w:val="00646C6F"/>
    <w:rsid w:val="0065359E"/>
    <w:rsid w:val="00660D43"/>
    <w:rsid w:val="00663680"/>
    <w:rsid w:val="00671BC9"/>
    <w:rsid w:val="00671FAE"/>
    <w:rsid w:val="00674C56"/>
    <w:rsid w:val="00677368"/>
    <w:rsid w:val="00684FC2"/>
    <w:rsid w:val="006851C0"/>
    <w:rsid w:val="006861C2"/>
    <w:rsid w:val="0068641A"/>
    <w:rsid w:val="00686446"/>
    <w:rsid w:val="00696F3D"/>
    <w:rsid w:val="006A1F8D"/>
    <w:rsid w:val="006A2D75"/>
    <w:rsid w:val="006B08A2"/>
    <w:rsid w:val="006B3002"/>
    <w:rsid w:val="006B5857"/>
    <w:rsid w:val="006B6883"/>
    <w:rsid w:val="006B6938"/>
    <w:rsid w:val="006C79CB"/>
    <w:rsid w:val="006D0922"/>
    <w:rsid w:val="006E036A"/>
    <w:rsid w:val="006E05E3"/>
    <w:rsid w:val="006E1B57"/>
    <w:rsid w:val="006E22F2"/>
    <w:rsid w:val="006E239D"/>
    <w:rsid w:val="006E38B6"/>
    <w:rsid w:val="006E5AE3"/>
    <w:rsid w:val="006F5F1D"/>
    <w:rsid w:val="0070133A"/>
    <w:rsid w:val="007035B0"/>
    <w:rsid w:val="00703947"/>
    <w:rsid w:val="00703B64"/>
    <w:rsid w:val="00705D4F"/>
    <w:rsid w:val="0071072C"/>
    <w:rsid w:val="00711509"/>
    <w:rsid w:val="007154DE"/>
    <w:rsid w:val="00721AFB"/>
    <w:rsid w:val="007229E2"/>
    <w:rsid w:val="0072326B"/>
    <w:rsid w:val="0072390A"/>
    <w:rsid w:val="00723AA1"/>
    <w:rsid w:val="00725D4C"/>
    <w:rsid w:val="007352B3"/>
    <w:rsid w:val="007355D7"/>
    <w:rsid w:val="00745080"/>
    <w:rsid w:val="00746C85"/>
    <w:rsid w:val="00750C1D"/>
    <w:rsid w:val="007513AB"/>
    <w:rsid w:val="00751B24"/>
    <w:rsid w:val="00752609"/>
    <w:rsid w:val="00753ACB"/>
    <w:rsid w:val="00754128"/>
    <w:rsid w:val="007564DA"/>
    <w:rsid w:val="00756618"/>
    <w:rsid w:val="007572C8"/>
    <w:rsid w:val="00757BE1"/>
    <w:rsid w:val="007604D7"/>
    <w:rsid w:val="00762AF6"/>
    <w:rsid w:val="00766275"/>
    <w:rsid w:val="00767E5A"/>
    <w:rsid w:val="007739AB"/>
    <w:rsid w:val="00776A2A"/>
    <w:rsid w:val="00780672"/>
    <w:rsid w:val="00782545"/>
    <w:rsid w:val="00782C55"/>
    <w:rsid w:val="00784501"/>
    <w:rsid w:val="00784B39"/>
    <w:rsid w:val="00793412"/>
    <w:rsid w:val="007979C3"/>
    <w:rsid w:val="007A0D03"/>
    <w:rsid w:val="007B3B69"/>
    <w:rsid w:val="007B55D2"/>
    <w:rsid w:val="007B62FC"/>
    <w:rsid w:val="007B7005"/>
    <w:rsid w:val="007C024E"/>
    <w:rsid w:val="007C19B0"/>
    <w:rsid w:val="007C2FED"/>
    <w:rsid w:val="007C353F"/>
    <w:rsid w:val="007C3871"/>
    <w:rsid w:val="007C4B1E"/>
    <w:rsid w:val="007C54F0"/>
    <w:rsid w:val="007C588E"/>
    <w:rsid w:val="007C7B67"/>
    <w:rsid w:val="007D120D"/>
    <w:rsid w:val="007D54A4"/>
    <w:rsid w:val="007D77B4"/>
    <w:rsid w:val="007D7F5A"/>
    <w:rsid w:val="007E20C7"/>
    <w:rsid w:val="007E2B4D"/>
    <w:rsid w:val="007E4382"/>
    <w:rsid w:val="007E4DF7"/>
    <w:rsid w:val="007F4236"/>
    <w:rsid w:val="007F447B"/>
    <w:rsid w:val="007F7C34"/>
    <w:rsid w:val="008068DF"/>
    <w:rsid w:val="0081129B"/>
    <w:rsid w:val="00814D1E"/>
    <w:rsid w:val="00820A2C"/>
    <w:rsid w:val="0082188E"/>
    <w:rsid w:val="00824EE7"/>
    <w:rsid w:val="00831961"/>
    <w:rsid w:val="00834FDD"/>
    <w:rsid w:val="008356B5"/>
    <w:rsid w:val="00836C82"/>
    <w:rsid w:val="00842F07"/>
    <w:rsid w:val="00850303"/>
    <w:rsid w:val="008522C7"/>
    <w:rsid w:val="00857275"/>
    <w:rsid w:val="00865288"/>
    <w:rsid w:val="00865594"/>
    <w:rsid w:val="00865A53"/>
    <w:rsid w:val="0086777A"/>
    <w:rsid w:val="00871469"/>
    <w:rsid w:val="00872107"/>
    <w:rsid w:val="008731FD"/>
    <w:rsid w:val="00875889"/>
    <w:rsid w:val="008768D5"/>
    <w:rsid w:val="008821DB"/>
    <w:rsid w:val="008918F9"/>
    <w:rsid w:val="00891A2A"/>
    <w:rsid w:val="0089299E"/>
    <w:rsid w:val="008A06EA"/>
    <w:rsid w:val="008A30E9"/>
    <w:rsid w:val="008A489C"/>
    <w:rsid w:val="008A7386"/>
    <w:rsid w:val="008B206D"/>
    <w:rsid w:val="008B4A7C"/>
    <w:rsid w:val="008C2619"/>
    <w:rsid w:val="008C699A"/>
    <w:rsid w:val="008C6E52"/>
    <w:rsid w:val="008D2DD6"/>
    <w:rsid w:val="008D4A45"/>
    <w:rsid w:val="008D5052"/>
    <w:rsid w:val="008D779D"/>
    <w:rsid w:val="008E0166"/>
    <w:rsid w:val="008E0EA9"/>
    <w:rsid w:val="008E308C"/>
    <w:rsid w:val="008E5321"/>
    <w:rsid w:val="008E5986"/>
    <w:rsid w:val="008E5B56"/>
    <w:rsid w:val="008F500A"/>
    <w:rsid w:val="008F5DCC"/>
    <w:rsid w:val="008F6DA5"/>
    <w:rsid w:val="008F6ECA"/>
    <w:rsid w:val="008F771D"/>
    <w:rsid w:val="00901CE5"/>
    <w:rsid w:val="00901F83"/>
    <w:rsid w:val="00902C62"/>
    <w:rsid w:val="00903BB7"/>
    <w:rsid w:val="00907206"/>
    <w:rsid w:val="00907E20"/>
    <w:rsid w:val="00910A23"/>
    <w:rsid w:val="00910D8B"/>
    <w:rsid w:val="009236DC"/>
    <w:rsid w:val="009304AD"/>
    <w:rsid w:val="00930DFE"/>
    <w:rsid w:val="00932585"/>
    <w:rsid w:val="00932BEC"/>
    <w:rsid w:val="00935558"/>
    <w:rsid w:val="00935F53"/>
    <w:rsid w:val="00937CB4"/>
    <w:rsid w:val="00946B85"/>
    <w:rsid w:val="00946E15"/>
    <w:rsid w:val="00950C8C"/>
    <w:rsid w:val="00952F4D"/>
    <w:rsid w:val="009534B7"/>
    <w:rsid w:val="00954D43"/>
    <w:rsid w:val="009564A7"/>
    <w:rsid w:val="00956D45"/>
    <w:rsid w:val="00957FFA"/>
    <w:rsid w:val="009609E6"/>
    <w:rsid w:val="00960BFD"/>
    <w:rsid w:val="0096438E"/>
    <w:rsid w:val="00964770"/>
    <w:rsid w:val="00966A56"/>
    <w:rsid w:val="0096759A"/>
    <w:rsid w:val="00971007"/>
    <w:rsid w:val="00972E8C"/>
    <w:rsid w:val="00974FAE"/>
    <w:rsid w:val="00985192"/>
    <w:rsid w:val="00986498"/>
    <w:rsid w:val="00986EF8"/>
    <w:rsid w:val="00990BA7"/>
    <w:rsid w:val="0099132E"/>
    <w:rsid w:val="00994C18"/>
    <w:rsid w:val="00995310"/>
    <w:rsid w:val="009A0535"/>
    <w:rsid w:val="009A31A4"/>
    <w:rsid w:val="009A5FC8"/>
    <w:rsid w:val="009B0582"/>
    <w:rsid w:val="009B6437"/>
    <w:rsid w:val="009C058B"/>
    <w:rsid w:val="009C3C18"/>
    <w:rsid w:val="009C4756"/>
    <w:rsid w:val="009C62FA"/>
    <w:rsid w:val="009D0DA4"/>
    <w:rsid w:val="009D0FFB"/>
    <w:rsid w:val="009D2BFA"/>
    <w:rsid w:val="009D43B4"/>
    <w:rsid w:val="009E00BC"/>
    <w:rsid w:val="009E0B15"/>
    <w:rsid w:val="009F3519"/>
    <w:rsid w:val="009F62A9"/>
    <w:rsid w:val="00A00656"/>
    <w:rsid w:val="00A035A1"/>
    <w:rsid w:val="00A0535D"/>
    <w:rsid w:val="00A05FE7"/>
    <w:rsid w:val="00A07497"/>
    <w:rsid w:val="00A10449"/>
    <w:rsid w:val="00A11E2D"/>
    <w:rsid w:val="00A133C1"/>
    <w:rsid w:val="00A201DE"/>
    <w:rsid w:val="00A22DA8"/>
    <w:rsid w:val="00A22FAD"/>
    <w:rsid w:val="00A2555E"/>
    <w:rsid w:val="00A258D0"/>
    <w:rsid w:val="00A25B1F"/>
    <w:rsid w:val="00A32EB5"/>
    <w:rsid w:val="00A40048"/>
    <w:rsid w:val="00A44487"/>
    <w:rsid w:val="00A45141"/>
    <w:rsid w:val="00A4596A"/>
    <w:rsid w:val="00A5011D"/>
    <w:rsid w:val="00A52BAE"/>
    <w:rsid w:val="00A53BEB"/>
    <w:rsid w:val="00A67CC2"/>
    <w:rsid w:val="00A71E5D"/>
    <w:rsid w:val="00A7279E"/>
    <w:rsid w:val="00A76276"/>
    <w:rsid w:val="00A76B10"/>
    <w:rsid w:val="00A76B89"/>
    <w:rsid w:val="00A80BFD"/>
    <w:rsid w:val="00A81C7E"/>
    <w:rsid w:val="00A8207F"/>
    <w:rsid w:val="00A85E47"/>
    <w:rsid w:val="00A911A5"/>
    <w:rsid w:val="00A9327A"/>
    <w:rsid w:val="00A940FE"/>
    <w:rsid w:val="00A95BB0"/>
    <w:rsid w:val="00A964B4"/>
    <w:rsid w:val="00AA2D3D"/>
    <w:rsid w:val="00AA3C62"/>
    <w:rsid w:val="00AA4D19"/>
    <w:rsid w:val="00AB16EB"/>
    <w:rsid w:val="00AB1F2D"/>
    <w:rsid w:val="00AC080E"/>
    <w:rsid w:val="00AC0E16"/>
    <w:rsid w:val="00AC28AC"/>
    <w:rsid w:val="00AC51BB"/>
    <w:rsid w:val="00AC5837"/>
    <w:rsid w:val="00AD53F9"/>
    <w:rsid w:val="00AD5490"/>
    <w:rsid w:val="00AD7299"/>
    <w:rsid w:val="00AE0FF6"/>
    <w:rsid w:val="00AE18B6"/>
    <w:rsid w:val="00AE32AD"/>
    <w:rsid w:val="00AE59CD"/>
    <w:rsid w:val="00AE696F"/>
    <w:rsid w:val="00AF5FA2"/>
    <w:rsid w:val="00AF63B4"/>
    <w:rsid w:val="00AF7176"/>
    <w:rsid w:val="00AF7BA0"/>
    <w:rsid w:val="00B0053C"/>
    <w:rsid w:val="00B02E0A"/>
    <w:rsid w:val="00B06A44"/>
    <w:rsid w:val="00B07ED4"/>
    <w:rsid w:val="00B10C4D"/>
    <w:rsid w:val="00B12B8B"/>
    <w:rsid w:val="00B16B37"/>
    <w:rsid w:val="00B172CA"/>
    <w:rsid w:val="00B1739C"/>
    <w:rsid w:val="00B17CF6"/>
    <w:rsid w:val="00B21800"/>
    <w:rsid w:val="00B221C7"/>
    <w:rsid w:val="00B22B53"/>
    <w:rsid w:val="00B23243"/>
    <w:rsid w:val="00B249ED"/>
    <w:rsid w:val="00B24D89"/>
    <w:rsid w:val="00B27342"/>
    <w:rsid w:val="00B276AD"/>
    <w:rsid w:val="00B33946"/>
    <w:rsid w:val="00B3494A"/>
    <w:rsid w:val="00B35354"/>
    <w:rsid w:val="00B36877"/>
    <w:rsid w:val="00B411DE"/>
    <w:rsid w:val="00B51F94"/>
    <w:rsid w:val="00B55769"/>
    <w:rsid w:val="00B55F88"/>
    <w:rsid w:val="00B576B9"/>
    <w:rsid w:val="00B62C5B"/>
    <w:rsid w:val="00B6756B"/>
    <w:rsid w:val="00B67AB8"/>
    <w:rsid w:val="00B74C40"/>
    <w:rsid w:val="00B75A82"/>
    <w:rsid w:val="00B82414"/>
    <w:rsid w:val="00B91AB1"/>
    <w:rsid w:val="00B952C4"/>
    <w:rsid w:val="00BA0DFD"/>
    <w:rsid w:val="00BA26AA"/>
    <w:rsid w:val="00BA28E0"/>
    <w:rsid w:val="00BA3191"/>
    <w:rsid w:val="00BA63E5"/>
    <w:rsid w:val="00BB0EC3"/>
    <w:rsid w:val="00BB12E1"/>
    <w:rsid w:val="00BB20A9"/>
    <w:rsid w:val="00BB3E5C"/>
    <w:rsid w:val="00BB5998"/>
    <w:rsid w:val="00BB6D80"/>
    <w:rsid w:val="00BC27B5"/>
    <w:rsid w:val="00BD2AF7"/>
    <w:rsid w:val="00BD4024"/>
    <w:rsid w:val="00BD50C9"/>
    <w:rsid w:val="00BD5449"/>
    <w:rsid w:val="00BE26C0"/>
    <w:rsid w:val="00BE3FBC"/>
    <w:rsid w:val="00BE45A5"/>
    <w:rsid w:val="00BF4E58"/>
    <w:rsid w:val="00BF5384"/>
    <w:rsid w:val="00C01763"/>
    <w:rsid w:val="00C078BD"/>
    <w:rsid w:val="00C07F73"/>
    <w:rsid w:val="00C10073"/>
    <w:rsid w:val="00C1028F"/>
    <w:rsid w:val="00C12303"/>
    <w:rsid w:val="00C129D7"/>
    <w:rsid w:val="00C16468"/>
    <w:rsid w:val="00C165F9"/>
    <w:rsid w:val="00C1665F"/>
    <w:rsid w:val="00C21E52"/>
    <w:rsid w:val="00C22077"/>
    <w:rsid w:val="00C236D2"/>
    <w:rsid w:val="00C25FC9"/>
    <w:rsid w:val="00C31912"/>
    <w:rsid w:val="00C32A54"/>
    <w:rsid w:val="00C34C78"/>
    <w:rsid w:val="00C36776"/>
    <w:rsid w:val="00C45F8A"/>
    <w:rsid w:val="00C467DB"/>
    <w:rsid w:val="00C50F03"/>
    <w:rsid w:val="00C52794"/>
    <w:rsid w:val="00C553B5"/>
    <w:rsid w:val="00C57530"/>
    <w:rsid w:val="00C6291E"/>
    <w:rsid w:val="00C6315F"/>
    <w:rsid w:val="00C633D5"/>
    <w:rsid w:val="00C64A4A"/>
    <w:rsid w:val="00C71643"/>
    <w:rsid w:val="00C72A80"/>
    <w:rsid w:val="00C73080"/>
    <w:rsid w:val="00C7333E"/>
    <w:rsid w:val="00C7348C"/>
    <w:rsid w:val="00C740CE"/>
    <w:rsid w:val="00C7544B"/>
    <w:rsid w:val="00C762C6"/>
    <w:rsid w:val="00C80A19"/>
    <w:rsid w:val="00C84F6B"/>
    <w:rsid w:val="00C85A8D"/>
    <w:rsid w:val="00C8744B"/>
    <w:rsid w:val="00C933E8"/>
    <w:rsid w:val="00C953D8"/>
    <w:rsid w:val="00C97E4B"/>
    <w:rsid w:val="00CA0093"/>
    <w:rsid w:val="00CA0B07"/>
    <w:rsid w:val="00CA6B13"/>
    <w:rsid w:val="00CA7357"/>
    <w:rsid w:val="00CB1FB9"/>
    <w:rsid w:val="00CB1FCD"/>
    <w:rsid w:val="00CB49F6"/>
    <w:rsid w:val="00CB6964"/>
    <w:rsid w:val="00CB78CA"/>
    <w:rsid w:val="00CB7981"/>
    <w:rsid w:val="00CC25A8"/>
    <w:rsid w:val="00CD0889"/>
    <w:rsid w:val="00CD0B37"/>
    <w:rsid w:val="00CD1640"/>
    <w:rsid w:val="00CD4A05"/>
    <w:rsid w:val="00CD4EE2"/>
    <w:rsid w:val="00CD533C"/>
    <w:rsid w:val="00CE1927"/>
    <w:rsid w:val="00CE2881"/>
    <w:rsid w:val="00CE3CCA"/>
    <w:rsid w:val="00CE5F98"/>
    <w:rsid w:val="00CF29E8"/>
    <w:rsid w:val="00CF54DE"/>
    <w:rsid w:val="00CF7EB1"/>
    <w:rsid w:val="00D015D6"/>
    <w:rsid w:val="00D03DA0"/>
    <w:rsid w:val="00D03E6C"/>
    <w:rsid w:val="00D11C59"/>
    <w:rsid w:val="00D1270C"/>
    <w:rsid w:val="00D15B13"/>
    <w:rsid w:val="00D21E47"/>
    <w:rsid w:val="00D22431"/>
    <w:rsid w:val="00D2531A"/>
    <w:rsid w:val="00D31A1B"/>
    <w:rsid w:val="00D31E99"/>
    <w:rsid w:val="00D32C7D"/>
    <w:rsid w:val="00D33A51"/>
    <w:rsid w:val="00D34A05"/>
    <w:rsid w:val="00D3717A"/>
    <w:rsid w:val="00D41767"/>
    <w:rsid w:val="00D4184D"/>
    <w:rsid w:val="00D4313A"/>
    <w:rsid w:val="00D45B08"/>
    <w:rsid w:val="00D5368A"/>
    <w:rsid w:val="00D544E4"/>
    <w:rsid w:val="00D552AC"/>
    <w:rsid w:val="00D57739"/>
    <w:rsid w:val="00D6195D"/>
    <w:rsid w:val="00D63890"/>
    <w:rsid w:val="00D70612"/>
    <w:rsid w:val="00D7515E"/>
    <w:rsid w:val="00D76F71"/>
    <w:rsid w:val="00D84F82"/>
    <w:rsid w:val="00D8684A"/>
    <w:rsid w:val="00D976BC"/>
    <w:rsid w:val="00DA29AE"/>
    <w:rsid w:val="00DA2BFC"/>
    <w:rsid w:val="00DB008E"/>
    <w:rsid w:val="00DB2F8C"/>
    <w:rsid w:val="00DB5BAE"/>
    <w:rsid w:val="00DC0C17"/>
    <w:rsid w:val="00DC0ECC"/>
    <w:rsid w:val="00DC4420"/>
    <w:rsid w:val="00DC67C2"/>
    <w:rsid w:val="00DC6F09"/>
    <w:rsid w:val="00DD144D"/>
    <w:rsid w:val="00DD1865"/>
    <w:rsid w:val="00DD1AE6"/>
    <w:rsid w:val="00DD354D"/>
    <w:rsid w:val="00DD35EA"/>
    <w:rsid w:val="00DD3AB3"/>
    <w:rsid w:val="00DD3EA7"/>
    <w:rsid w:val="00DD71F9"/>
    <w:rsid w:val="00DD7BA2"/>
    <w:rsid w:val="00DE090F"/>
    <w:rsid w:val="00DE1754"/>
    <w:rsid w:val="00DE44C7"/>
    <w:rsid w:val="00DE543C"/>
    <w:rsid w:val="00DE7647"/>
    <w:rsid w:val="00DF0739"/>
    <w:rsid w:val="00DF0CA0"/>
    <w:rsid w:val="00DF2B6E"/>
    <w:rsid w:val="00DF5EA0"/>
    <w:rsid w:val="00DF765E"/>
    <w:rsid w:val="00E0041C"/>
    <w:rsid w:val="00E02C85"/>
    <w:rsid w:val="00E0374B"/>
    <w:rsid w:val="00E047BC"/>
    <w:rsid w:val="00E04E13"/>
    <w:rsid w:val="00E10992"/>
    <w:rsid w:val="00E10DF8"/>
    <w:rsid w:val="00E1184D"/>
    <w:rsid w:val="00E11B6D"/>
    <w:rsid w:val="00E1341D"/>
    <w:rsid w:val="00E13FC9"/>
    <w:rsid w:val="00E149D5"/>
    <w:rsid w:val="00E14F1F"/>
    <w:rsid w:val="00E15A05"/>
    <w:rsid w:val="00E15C67"/>
    <w:rsid w:val="00E1634A"/>
    <w:rsid w:val="00E17301"/>
    <w:rsid w:val="00E20589"/>
    <w:rsid w:val="00E21179"/>
    <w:rsid w:val="00E22891"/>
    <w:rsid w:val="00E23D72"/>
    <w:rsid w:val="00E26A00"/>
    <w:rsid w:val="00E3031B"/>
    <w:rsid w:val="00E311C1"/>
    <w:rsid w:val="00E3145B"/>
    <w:rsid w:val="00E31EA4"/>
    <w:rsid w:val="00E32663"/>
    <w:rsid w:val="00E33FDB"/>
    <w:rsid w:val="00E3585B"/>
    <w:rsid w:val="00E35920"/>
    <w:rsid w:val="00E40F54"/>
    <w:rsid w:val="00E524C8"/>
    <w:rsid w:val="00E52CF6"/>
    <w:rsid w:val="00E573BF"/>
    <w:rsid w:val="00E6054F"/>
    <w:rsid w:val="00E627AA"/>
    <w:rsid w:val="00E63AF7"/>
    <w:rsid w:val="00E6716D"/>
    <w:rsid w:val="00E67753"/>
    <w:rsid w:val="00E70637"/>
    <w:rsid w:val="00E73669"/>
    <w:rsid w:val="00E74E01"/>
    <w:rsid w:val="00E80ACC"/>
    <w:rsid w:val="00E80D02"/>
    <w:rsid w:val="00E81D0B"/>
    <w:rsid w:val="00E86150"/>
    <w:rsid w:val="00E928CC"/>
    <w:rsid w:val="00E95102"/>
    <w:rsid w:val="00E956CE"/>
    <w:rsid w:val="00E9626D"/>
    <w:rsid w:val="00EA1F3B"/>
    <w:rsid w:val="00EA6D4E"/>
    <w:rsid w:val="00EA78F3"/>
    <w:rsid w:val="00EA7FEE"/>
    <w:rsid w:val="00EB04D2"/>
    <w:rsid w:val="00EB3402"/>
    <w:rsid w:val="00EB4475"/>
    <w:rsid w:val="00EB4504"/>
    <w:rsid w:val="00EB5D87"/>
    <w:rsid w:val="00EB7B35"/>
    <w:rsid w:val="00EB7BDD"/>
    <w:rsid w:val="00EC0D29"/>
    <w:rsid w:val="00EC0F2D"/>
    <w:rsid w:val="00EC2C3E"/>
    <w:rsid w:val="00EC5168"/>
    <w:rsid w:val="00EC5C59"/>
    <w:rsid w:val="00ED20E9"/>
    <w:rsid w:val="00ED3F6D"/>
    <w:rsid w:val="00ED5217"/>
    <w:rsid w:val="00EE09A8"/>
    <w:rsid w:val="00EE5B9A"/>
    <w:rsid w:val="00EE69D2"/>
    <w:rsid w:val="00EF379C"/>
    <w:rsid w:val="00EF5BC2"/>
    <w:rsid w:val="00EF68E6"/>
    <w:rsid w:val="00F004D7"/>
    <w:rsid w:val="00F021F3"/>
    <w:rsid w:val="00F05657"/>
    <w:rsid w:val="00F05F5A"/>
    <w:rsid w:val="00F10D81"/>
    <w:rsid w:val="00F1235E"/>
    <w:rsid w:val="00F20DB6"/>
    <w:rsid w:val="00F26BCF"/>
    <w:rsid w:val="00F312ED"/>
    <w:rsid w:val="00F345B6"/>
    <w:rsid w:val="00F3594E"/>
    <w:rsid w:val="00F3629A"/>
    <w:rsid w:val="00F40972"/>
    <w:rsid w:val="00F4197E"/>
    <w:rsid w:val="00F42264"/>
    <w:rsid w:val="00F444CA"/>
    <w:rsid w:val="00F46D98"/>
    <w:rsid w:val="00F51930"/>
    <w:rsid w:val="00F51FC3"/>
    <w:rsid w:val="00F53FB9"/>
    <w:rsid w:val="00F554A3"/>
    <w:rsid w:val="00F56FAB"/>
    <w:rsid w:val="00F60C99"/>
    <w:rsid w:val="00F61379"/>
    <w:rsid w:val="00F614C5"/>
    <w:rsid w:val="00F61833"/>
    <w:rsid w:val="00F64178"/>
    <w:rsid w:val="00F65C91"/>
    <w:rsid w:val="00F65D53"/>
    <w:rsid w:val="00F663C5"/>
    <w:rsid w:val="00F7001C"/>
    <w:rsid w:val="00F7021F"/>
    <w:rsid w:val="00F70A17"/>
    <w:rsid w:val="00F70C73"/>
    <w:rsid w:val="00F722D0"/>
    <w:rsid w:val="00F735E8"/>
    <w:rsid w:val="00F803DF"/>
    <w:rsid w:val="00F80DA1"/>
    <w:rsid w:val="00F85D54"/>
    <w:rsid w:val="00F87460"/>
    <w:rsid w:val="00F9026C"/>
    <w:rsid w:val="00F90A6F"/>
    <w:rsid w:val="00F96176"/>
    <w:rsid w:val="00FA15D8"/>
    <w:rsid w:val="00FA4395"/>
    <w:rsid w:val="00FA568F"/>
    <w:rsid w:val="00FB5BAE"/>
    <w:rsid w:val="00FB7C3A"/>
    <w:rsid w:val="00FC0240"/>
    <w:rsid w:val="00FC2B47"/>
    <w:rsid w:val="00FC3870"/>
    <w:rsid w:val="00FC76AF"/>
    <w:rsid w:val="00FD2C4A"/>
    <w:rsid w:val="00FD2C7F"/>
    <w:rsid w:val="00FD657A"/>
    <w:rsid w:val="00FD77B3"/>
    <w:rsid w:val="00FE1507"/>
    <w:rsid w:val="00FE156A"/>
    <w:rsid w:val="00FE164C"/>
    <w:rsid w:val="00FE1B4B"/>
    <w:rsid w:val="00FE259E"/>
    <w:rsid w:val="00FE6103"/>
    <w:rsid w:val="00FE6CEA"/>
    <w:rsid w:val="00FE7E49"/>
    <w:rsid w:val="00FF0952"/>
    <w:rsid w:val="00FF3BA5"/>
    <w:rsid w:val="00FF46D2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E1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C85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4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85"/>
    <w:rPr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rsid w:val="005644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4479"/>
    <w:rPr>
      <w:rFonts w:ascii="Tahoma" w:hAnsi="Tahoma" w:cs="Tahoma"/>
      <w:sz w:val="16"/>
      <w:szCs w:val="16"/>
      <w:lang w:val="sr-Latn-CS"/>
    </w:rPr>
  </w:style>
  <w:style w:type="table" w:styleId="TableGrid">
    <w:name w:val="Table Grid"/>
    <w:basedOn w:val="TableNormal"/>
    <w:rsid w:val="0086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52A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E80D0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1-Accent5">
    <w:name w:val="Medium List 1 Accent 5"/>
    <w:basedOn w:val="TableNormal"/>
    <w:uiPriority w:val="65"/>
    <w:rsid w:val="00E31EA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E1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C85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4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85"/>
    <w:rPr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rsid w:val="005644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4479"/>
    <w:rPr>
      <w:rFonts w:ascii="Tahoma" w:hAnsi="Tahoma" w:cs="Tahoma"/>
      <w:sz w:val="16"/>
      <w:szCs w:val="16"/>
      <w:lang w:val="sr-Latn-CS"/>
    </w:rPr>
  </w:style>
  <w:style w:type="table" w:styleId="TableGrid">
    <w:name w:val="Table Grid"/>
    <w:basedOn w:val="TableNormal"/>
    <w:rsid w:val="0086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52A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E80D0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1-Accent5">
    <w:name w:val="Medium List 1 Accent 5"/>
    <w:basedOn w:val="TableNormal"/>
    <w:uiPriority w:val="65"/>
    <w:rsid w:val="00E31EA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EFFC4-69FC-48F2-B3BA-7A9C7AE9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</vt:lpstr>
    </vt:vector>
  </TitlesOfParts>
  <Company/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</dc:title>
  <dc:creator>pnatasa</dc:creator>
  <cp:lastModifiedBy> </cp:lastModifiedBy>
  <cp:revision>2</cp:revision>
  <cp:lastPrinted>2018-04-27T07:03:00Z</cp:lastPrinted>
  <dcterms:created xsi:type="dcterms:W3CDTF">2022-07-21T08:19:00Z</dcterms:created>
  <dcterms:modified xsi:type="dcterms:W3CDTF">2022-07-21T08:19:00Z</dcterms:modified>
</cp:coreProperties>
</file>