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28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 xml:space="preserve">Društvo za upravljanje investicionim fondovima </w:t>
      </w:r>
    </w:p>
    <w:p w:rsidR="00145C28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KRISTAL INVEST a.d. Banja Luka</w:t>
      </w:r>
    </w:p>
    <w:p w:rsidR="0036780F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Broj:</w:t>
      </w:r>
    </w:p>
    <w:p w:rsidR="0034280D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Dana:</w:t>
      </w:r>
      <w:r w:rsidR="00865594" w:rsidRPr="00686446">
        <w:rPr>
          <w:rFonts w:ascii="Calibri" w:hAnsi="Calibri" w:cs="Calibri"/>
        </w:rPr>
        <w:t xml:space="preserve"> </w:t>
      </w:r>
    </w:p>
    <w:p w:rsidR="00865594" w:rsidRPr="00686446" w:rsidRDefault="00865594" w:rsidP="00145C28">
      <w:pPr>
        <w:rPr>
          <w:rFonts w:ascii="Calibri" w:hAnsi="Calibri" w:cs="Calibri"/>
        </w:rPr>
      </w:pPr>
    </w:p>
    <w:p w:rsidR="00865594" w:rsidRDefault="00865594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Pr="00686446" w:rsidRDefault="00294330" w:rsidP="00145C28">
      <w:pPr>
        <w:rPr>
          <w:rFonts w:ascii="Calibri" w:hAnsi="Calibri" w:cs="Calibri"/>
        </w:rPr>
      </w:pPr>
    </w:p>
    <w:p w:rsidR="00B82414" w:rsidRPr="00A21581" w:rsidRDefault="003A1426" w:rsidP="005B04B1">
      <w:pPr>
        <w:jc w:val="center"/>
        <w:rPr>
          <w:rFonts w:ascii="Calibri" w:hAnsi="Calibri" w:cs="Calibri"/>
          <w:b/>
        </w:rPr>
      </w:pPr>
      <w:r w:rsidRPr="00686446">
        <w:rPr>
          <w:rFonts w:ascii="Calibri" w:hAnsi="Calibri" w:cs="Calibri"/>
          <w:b/>
          <w:lang w:val="en-US"/>
        </w:rPr>
        <w:t>I</w:t>
      </w:r>
      <w:r w:rsidR="000D2CE0" w:rsidRPr="00686446">
        <w:rPr>
          <w:rFonts w:ascii="Calibri" w:hAnsi="Calibri" w:cs="Calibri"/>
          <w:b/>
          <w:lang w:val="en-US"/>
        </w:rPr>
        <w:t>ZVJE</w:t>
      </w:r>
      <w:r w:rsidR="000D2CE0" w:rsidRPr="00A21581">
        <w:rPr>
          <w:rFonts w:ascii="Calibri" w:hAnsi="Calibri" w:cs="Calibri"/>
          <w:b/>
        </w:rPr>
        <w:t>Š</w:t>
      </w:r>
      <w:r w:rsidR="000D2CE0" w:rsidRPr="00686446">
        <w:rPr>
          <w:rFonts w:ascii="Calibri" w:hAnsi="Calibri" w:cs="Calibri"/>
          <w:b/>
          <w:lang w:val="en-US"/>
        </w:rPr>
        <w:t>TAJ</w:t>
      </w:r>
    </w:p>
    <w:p w:rsidR="00F80DA1" w:rsidRPr="00A21581" w:rsidRDefault="00D3717A" w:rsidP="005B04B1">
      <w:pPr>
        <w:jc w:val="center"/>
        <w:rPr>
          <w:rFonts w:ascii="Calibri" w:hAnsi="Calibri" w:cs="Calibri"/>
          <w:b/>
        </w:rPr>
      </w:pPr>
      <w:proofErr w:type="gramStart"/>
      <w:r w:rsidRPr="00686446">
        <w:rPr>
          <w:rFonts w:ascii="Calibri" w:hAnsi="Calibri" w:cs="Calibri"/>
          <w:b/>
          <w:lang w:val="en-US"/>
        </w:rPr>
        <w:t>o</w:t>
      </w:r>
      <w:proofErr w:type="gramEnd"/>
      <w:r w:rsidR="00204164" w:rsidRPr="00A21581">
        <w:rPr>
          <w:rFonts w:ascii="Calibri" w:hAnsi="Calibri" w:cs="Calibri"/>
          <w:b/>
        </w:rPr>
        <w:t xml:space="preserve"> </w:t>
      </w:r>
      <w:r w:rsidR="00204164" w:rsidRPr="00686446">
        <w:rPr>
          <w:rFonts w:ascii="Calibri" w:hAnsi="Calibri" w:cs="Calibri"/>
          <w:b/>
          <w:lang w:val="en-US"/>
        </w:rPr>
        <w:t>poslovanju</w:t>
      </w:r>
      <w:r w:rsidR="00204164" w:rsidRPr="00A21581">
        <w:rPr>
          <w:rFonts w:ascii="Calibri" w:hAnsi="Calibri" w:cs="Calibri"/>
          <w:b/>
        </w:rPr>
        <w:t xml:space="preserve"> </w:t>
      </w:r>
      <w:r w:rsidR="007D77B4">
        <w:rPr>
          <w:rFonts w:ascii="Calibri" w:hAnsi="Calibri" w:cs="Calibri"/>
          <w:b/>
          <w:lang w:val="en-US"/>
        </w:rPr>
        <w:t>otvorenog</w:t>
      </w:r>
      <w:r w:rsidR="007D77B4" w:rsidRPr="00A21581">
        <w:rPr>
          <w:rFonts w:ascii="Calibri" w:hAnsi="Calibri" w:cs="Calibri"/>
          <w:b/>
        </w:rPr>
        <w:t xml:space="preserve"> </w:t>
      </w:r>
      <w:r w:rsidR="00D57739">
        <w:rPr>
          <w:rFonts w:ascii="Calibri" w:hAnsi="Calibri" w:cs="Calibri"/>
          <w:b/>
          <w:lang w:val="en-US"/>
        </w:rPr>
        <w:t>mje</w:t>
      </w:r>
      <w:r w:rsidR="00D57739" w:rsidRPr="00A21581">
        <w:rPr>
          <w:rFonts w:ascii="Calibri" w:hAnsi="Calibri" w:cs="Calibri"/>
          <w:b/>
        </w:rPr>
        <w:t>š</w:t>
      </w:r>
      <w:r w:rsidR="00D57739">
        <w:rPr>
          <w:rFonts w:ascii="Calibri" w:hAnsi="Calibri" w:cs="Calibri"/>
          <w:b/>
          <w:lang w:val="en-US"/>
        </w:rPr>
        <w:t>ovitog</w:t>
      </w:r>
      <w:r w:rsidR="00D57739" w:rsidRPr="00A21581">
        <w:rPr>
          <w:rFonts w:ascii="Calibri" w:hAnsi="Calibri" w:cs="Calibri"/>
          <w:b/>
        </w:rPr>
        <w:t xml:space="preserve"> </w:t>
      </w:r>
      <w:r w:rsidR="007D77B4">
        <w:rPr>
          <w:rFonts w:ascii="Calibri" w:hAnsi="Calibri" w:cs="Calibri"/>
          <w:b/>
          <w:lang w:val="en-US"/>
        </w:rPr>
        <w:t>investicionog</w:t>
      </w:r>
      <w:r w:rsidR="007D77B4" w:rsidRPr="00A21581">
        <w:rPr>
          <w:rFonts w:ascii="Calibri" w:hAnsi="Calibri" w:cs="Calibri"/>
          <w:b/>
        </w:rPr>
        <w:t xml:space="preserve"> </w:t>
      </w:r>
      <w:r w:rsidR="007D77B4">
        <w:rPr>
          <w:rFonts w:ascii="Calibri" w:hAnsi="Calibri" w:cs="Calibri"/>
          <w:b/>
          <w:lang w:val="en-US"/>
        </w:rPr>
        <w:t>fonda</w:t>
      </w:r>
      <w:r w:rsidR="00204164" w:rsidRPr="00A21581">
        <w:rPr>
          <w:rFonts w:ascii="Calibri" w:hAnsi="Calibri" w:cs="Calibri"/>
          <w:b/>
        </w:rPr>
        <w:t xml:space="preserve"> “</w:t>
      </w:r>
      <w:r w:rsidR="00FE7E49">
        <w:rPr>
          <w:rFonts w:ascii="Calibri" w:hAnsi="Calibri" w:cs="Calibri"/>
          <w:b/>
          <w:lang w:val="en-US"/>
        </w:rPr>
        <w:t>Maximus</w:t>
      </w:r>
      <w:r w:rsidR="00D57739" w:rsidRPr="00A21581">
        <w:rPr>
          <w:rFonts w:ascii="Calibri" w:hAnsi="Calibri" w:cs="Calibri"/>
          <w:b/>
        </w:rPr>
        <w:t xml:space="preserve"> </w:t>
      </w:r>
      <w:r w:rsidR="00D57739">
        <w:rPr>
          <w:rFonts w:ascii="Calibri" w:hAnsi="Calibri" w:cs="Calibri"/>
          <w:b/>
          <w:lang w:val="en-US"/>
        </w:rPr>
        <w:t>fund</w:t>
      </w:r>
      <w:r w:rsidR="00204164" w:rsidRPr="00A21581">
        <w:rPr>
          <w:rFonts w:ascii="Calibri" w:hAnsi="Calibri" w:cs="Calibri"/>
          <w:b/>
        </w:rPr>
        <w:t>”</w:t>
      </w:r>
      <w:r w:rsidR="002954D1" w:rsidRPr="00A21581">
        <w:rPr>
          <w:rFonts w:ascii="Calibri" w:hAnsi="Calibri" w:cs="Calibri"/>
          <w:b/>
        </w:rPr>
        <w:t xml:space="preserve"> </w:t>
      </w:r>
    </w:p>
    <w:p w:rsidR="00204164" w:rsidRPr="00A21581" w:rsidRDefault="00BA0DFD" w:rsidP="005B04B1">
      <w:pPr>
        <w:jc w:val="center"/>
        <w:rPr>
          <w:rFonts w:ascii="Calibri" w:hAnsi="Calibri" w:cs="Calibri"/>
          <w:b/>
        </w:rPr>
      </w:pPr>
      <w:proofErr w:type="gramStart"/>
      <w:r w:rsidRPr="00686446">
        <w:rPr>
          <w:rFonts w:ascii="Calibri" w:hAnsi="Calibri" w:cs="Calibri"/>
          <w:b/>
          <w:lang w:val="en-US"/>
        </w:rPr>
        <w:t>za</w:t>
      </w:r>
      <w:proofErr w:type="gramEnd"/>
      <w:r w:rsidRPr="00A21581">
        <w:rPr>
          <w:rFonts w:ascii="Calibri" w:hAnsi="Calibri" w:cs="Calibri"/>
          <w:b/>
        </w:rPr>
        <w:t xml:space="preserve"> </w:t>
      </w:r>
      <w:r w:rsidRPr="00686446">
        <w:rPr>
          <w:rFonts w:ascii="Calibri" w:hAnsi="Calibri" w:cs="Calibri"/>
          <w:b/>
          <w:lang w:val="en-US"/>
        </w:rPr>
        <w:t>period</w:t>
      </w:r>
      <w:r w:rsidRPr="00A21581">
        <w:rPr>
          <w:rFonts w:ascii="Calibri" w:hAnsi="Calibri" w:cs="Calibri"/>
          <w:b/>
        </w:rPr>
        <w:t xml:space="preserve"> 01.01.</w:t>
      </w:r>
      <w:r w:rsidR="007A6AAE">
        <w:rPr>
          <w:rFonts w:ascii="Calibri" w:hAnsi="Calibri" w:cs="Calibri"/>
          <w:b/>
        </w:rPr>
        <w:t>202</w:t>
      </w:r>
      <w:r w:rsidR="00623434">
        <w:rPr>
          <w:rFonts w:ascii="Calibri" w:hAnsi="Calibri" w:cs="Calibri"/>
          <w:b/>
        </w:rPr>
        <w:t>2</w:t>
      </w:r>
      <w:r w:rsidR="007E5BB9">
        <w:rPr>
          <w:rFonts w:ascii="Calibri" w:hAnsi="Calibri" w:cs="Calibri"/>
          <w:b/>
        </w:rPr>
        <w:t>.</w:t>
      </w:r>
      <w:r w:rsidRPr="00A21581">
        <w:rPr>
          <w:rFonts w:ascii="Calibri" w:hAnsi="Calibri" w:cs="Calibri"/>
          <w:b/>
        </w:rPr>
        <w:t>-3</w:t>
      </w:r>
      <w:r w:rsidR="00623434">
        <w:rPr>
          <w:rFonts w:ascii="Calibri" w:hAnsi="Calibri" w:cs="Calibri"/>
          <w:b/>
        </w:rPr>
        <w:t>0</w:t>
      </w:r>
      <w:r w:rsidRPr="00A21581">
        <w:rPr>
          <w:rFonts w:ascii="Calibri" w:hAnsi="Calibri" w:cs="Calibri"/>
          <w:b/>
        </w:rPr>
        <w:t>.</w:t>
      </w:r>
      <w:r w:rsidR="00623434">
        <w:rPr>
          <w:rFonts w:ascii="Calibri" w:hAnsi="Calibri" w:cs="Calibri"/>
          <w:b/>
        </w:rPr>
        <w:t>06</w:t>
      </w:r>
      <w:r w:rsidR="007735E5">
        <w:rPr>
          <w:rFonts w:ascii="Calibri" w:hAnsi="Calibri" w:cs="Calibri"/>
          <w:b/>
        </w:rPr>
        <w:t>.2022</w:t>
      </w:r>
      <w:r w:rsidR="00204164" w:rsidRPr="00A21581">
        <w:rPr>
          <w:rFonts w:ascii="Calibri" w:hAnsi="Calibri" w:cs="Calibri"/>
          <w:b/>
        </w:rPr>
        <w:t>.</w:t>
      </w:r>
    </w:p>
    <w:p w:rsidR="005B04B1" w:rsidRPr="00A21581" w:rsidRDefault="005B04B1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294330" w:rsidRPr="00A21581" w:rsidRDefault="00294330" w:rsidP="005B04B1">
      <w:pPr>
        <w:jc w:val="center"/>
        <w:rPr>
          <w:rFonts w:ascii="Calibri" w:hAnsi="Calibri" w:cs="Calibri"/>
          <w:b/>
        </w:rPr>
      </w:pPr>
    </w:p>
    <w:p w:rsidR="00E14F1F" w:rsidRPr="00A21581" w:rsidRDefault="001107DD" w:rsidP="009D2BFA">
      <w:pPr>
        <w:jc w:val="both"/>
        <w:rPr>
          <w:rFonts w:ascii="Calibri" w:hAnsi="Calibri" w:cs="Calibri"/>
        </w:rPr>
      </w:pPr>
      <w:r w:rsidRPr="00686446">
        <w:rPr>
          <w:rFonts w:ascii="Calibri" w:hAnsi="Calibri" w:cs="Calibri"/>
          <w:lang w:val="en-US"/>
        </w:rPr>
        <w:lastRenderedPageBreak/>
        <w:t>Cilj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ovog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Izvje</w:t>
      </w:r>
      <w:r w:rsidRPr="00A21581">
        <w:rPr>
          <w:rFonts w:ascii="Calibri" w:hAnsi="Calibri" w:cs="Calibri"/>
        </w:rPr>
        <w:t>š</w:t>
      </w:r>
      <w:r w:rsidRPr="00686446">
        <w:rPr>
          <w:rFonts w:ascii="Calibri" w:hAnsi="Calibri" w:cs="Calibri"/>
          <w:lang w:val="en-US"/>
        </w:rPr>
        <w:t>taja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je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da</w:t>
      </w:r>
      <w:r w:rsidR="00F46D98" w:rsidRPr="00A21581">
        <w:rPr>
          <w:rFonts w:ascii="Calibri" w:hAnsi="Calibri" w:cs="Calibri"/>
        </w:rPr>
        <w:t xml:space="preserve"> </w:t>
      </w:r>
      <w:r w:rsidR="00F46D98" w:rsidRPr="00686446">
        <w:rPr>
          <w:rFonts w:ascii="Calibri" w:hAnsi="Calibri" w:cs="Calibri"/>
          <w:lang w:val="en-US"/>
        </w:rPr>
        <w:t>Upravni</w:t>
      </w:r>
      <w:r w:rsidR="00F46D98" w:rsidRPr="00A21581">
        <w:rPr>
          <w:rFonts w:ascii="Calibri" w:hAnsi="Calibri" w:cs="Calibri"/>
        </w:rPr>
        <w:t xml:space="preserve"> </w:t>
      </w:r>
      <w:r w:rsidR="00F46D98" w:rsidRPr="00686446">
        <w:rPr>
          <w:rFonts w:ascii="Calibri" w:hAnsi="Calibri" w:cs="Calibri"/>
          <w:lang w:val="en-US"/>
        </w:rPr>
        <w:t>odbor</w:t>
      </w:r>
      <w:r w:rsidR="00A85E47" w:rsidRPr="00A21581">
        <w:rPr>
          <w:rFonts w:ascii="Calibri" w:hAnsi="Calibri" w:cs="Calibri"/>
        </w:rPr>
        <w:t xml:space="preserve"> </w:t>
      </w:r>
      <w:r w:rsidR="00A85E47" w:rsidRPr="00686446">
        <w:rPr>
          <w:rFonts w:ascii="Calibri" w:hAnsi="Calibri" w:cs="Calibri"/>
          <w:lang w:val="en-US"/>
        </w:rPr>
        <w:t>Dru</w:t>
      </w:r>
      <w:r w:rsidR="00A85E47" w:rsidRPr="00A21581">
        <w:rPr>
          <w:rFonts w:ascii="Calibri" w:hAnsi="Calibri" w:cs="Calibri"/>
        </w:rPr>
        <w:t>š</w:t>
      </w:r>
      <w:r w:rsidR="00A85E47" w:rsidRPr="00686446">
        <w:rPr>
          <w:rFonts w:ascii="Calibri" w:hAnsi="Calibri" w:cs="Calibri"/>
          <w:lang w:val="en-US"/>
        </w:rPr>
        <w:t>tva</w:t>
      </w:r>
      <w:r w:rsidR="00A85E47" w:rsidRPr="00A21581">
        <w:rPr>
          <w:rFonts w:ascii="Calibri" w:hAnsi="Calibri" w:cs="Calibri"/>
        </w:rPr>
        <w:t xml:space="preserve"> </w:t>
      </w:r>
      <w:r w:rsidR="00A85E47" w:rsidRPr="00686446">
        <w:rPr>
          <w:rFonts w:ascii="Calibri" w:hAnsi="Calibri" w:cs="Calibri"/>
          <w:lang w:val="en-US"/>
        </w:rPr>
        <w:t>za</w:t>
      </w:r>
      <w:r w:rsidR="00A85E47" w:rsidRPr="00A21581">
        <w:rPr>
          <w:rFonts w:ascii="Calibri" w:hAnsi="Calibri" w:cs="Calibri"/>
        </w:rPr>
        <w:t xml:space="preserve"> </w:t>
      </w:r>
      <w:r w:rsidR="00A85E47" w:rsidRPr="00686446">
        <w:rPr>
          <w:rFonts w:ascii="Calibri" w:hAnsi="Calibri" w:cs="Calibri"/>
          <w:lang w:val="en-US"/>
        </w:rPr>
        <w:t>upravljan</w:t>
      </w:r>
      <w:r w:rsidR="00A4596A" w:rsidRPr="00686446">
        <w:rPr>
          <w:rFonts w:ascii="Calibri" w:hAnsi="Calibri" w:cs="Calibri"/>
          <w:lang w:val="en-US"/>
        </w:rPr>
        <w:t>je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investi</w:t>
      </w:r>
      <w:r w:rsidR="00F80DA1" w:rsidRPr="00686446">
        <w:rPr>
          <w:rFonts w:ascii="Calibri" w:hAnsi="Calibri" w:cs="Calibri"/>
          <w:lang w:val="en-US"/>
        </w:rPr>
        <w:t>cionim</w:t>
      </w:r>
      <w:r w:rsidR="00F80DA1" w:rsidRPr="00A21581">
        <w:rPr>
          <w:rFonts w:ascii="Calibri" w:hAnsi="Calibri" w:cs="Calibri"/>
        </w:rPr>
        <w:t xml:space="preserve"> </w:t>
      </w:r>
      <w:r w:rsidR="00F80DA1" w:rsidRPr="00686446">
        <w:rPr>
          <w:rFonts w:ascii="Calibri" w:hAnsi="Calibri" w:cs="Calibri"/>
          <w:lang w:val="en-US"/>
        </w:rPr>
        <w:t>fondovima</w:t>
      </w:r>
      <w:r w:rsidR="00F80DA1" w:rsidRPr="00A21581">
        <w:rPr>
          <w:rFonts w:ascii="Calibri" w:hAnsi="Calibri" w:cs="Calibri"/>
        </w:rPr>
        <w:t xml:space="preserve"> </w:t>
      </w:r>
      <w:r w:rsidR="00DC67C2" w:rsidRPr="00686446">
        <w:rPr>
          <w:rFonts w:ascii="Calibri" w:hAnsi="Calibri" w:cs="Calibri"/>
          <w:lang w:val="en-US"/>
        </w:rPr>
        <w:t>Kristal</w:t>
      </w:r>
      <w:r w:rsidR="00DC67C2" w:rsidRPr="00A21581">
        <w:rPr>
          <w:rFonts w:ascii="Calibri" w:hAnsi="Calibri" w:cs="Calibri"/>
        </w:rPr>
        <w:t xml:space="preserve"> </w:t>
      </w:r>
      <w:r w:rsidR="00DC67C2" w:rsidRPr="00686446">
        <w:rPr>
          <w:rFonts w:ascii="Calibri" w:hAnsi="Calibri" w:cs="Calibri"/>
          <w:lang w:val="en-US"/>
        </w:rPr>
        <w:t>Invest</w:t>
      </w:r>
      <w:r w:rsidR="00DC67C2" w:rsidRPr="00A21581">
        <w:rPr>
          <w:rFonts w:ascii="Calibri" w:hAnsi="Calibri" w:cs="Calibri"/>
        </w:rPr>
        <w:t xml:space="preserve"> </w:t>
      </w:r>
      <w:r w:rsidR="00DC67C2" w:rsidRPr="00686446">
        <w:rPr>
          <w:rFonts w:ascii="Calibri" w:hAnsi="Calibri" w:cs="Calibri"/>
          <w:lang w:val="en-US"/>
        </w:rPr>
        <w:t>a</w:t>
      </w:r>
      <w:r w:rsidR="00DC67C2" w:rsidRPr="00A21581">
        <w:rPr>
          <w:rFonts w:ascii="Calibri" w:hAnsi="Calibri" w:cs="Calibri"/>
        </w:rPr>
        <w:t>.</w:t>
      </w:r>
      <w:r w:rsidR="00DC67C2" w:rsidRPr="00686446">
        <w:rPr>
          <w:rFonts w:ascii="Calibri" w:hAnsi="Calibri" w:cs="Calibri"/>
          <w:lang w:val="en-US"/>
        </w:rPr>
        <w:t>d</w:t>
      </w:r>
      <w:r w:rsidR="00DC67C2" w:rsidRPr="00A21581">
        <w:rPr>
          <w:rFonts w:ascii="Calibri" w:hAnsi="Calibri" w:cs="Calibri"/>
        </w:rPr>
        <w:t xml:space="preserve">. </w:t>
      </w:r>
      <w:r w:rsidR="00DC67C2" w:rsidRPr="00686446">
        <w:rPr>
          <w:rFonts w:ascii="Calibri" w:hAnsi="Calibri" w:cs="Calibri"/>
          <w:lang w:val="en-US"/>
        </w:rPr>
        <w:t>Banja</w:t>
      </w:r>
      <w:r w:rsidR="00DC67C2" w:rsidRPr="00A21581">
        <w:rPr>
          <w:rFonts w:ascii="Calibri" w:hAnsi="Calibri" w:cs="Calibri"/>
        </w:rPr>
        <w:t xml:space="preserve"> </w:t>
      </w:r>
      <w:r w:rsidR="00DC67C2" w:rsidRPr="00686446">
        <w:rPr>
          <w:rFonts w:ascii="Calibri" w:hAnsi="Calibri" w:cs="Calibri"/>
          <w:lang w:val="en-US"/>
        </w:rPr>
        <w:t>Luka</w:t>
      </w:r>
      <w:r w:rsidR="00DC67C2" w:rsidRPr="00A21581">
        <w:rPr>
          <w:rFonts w:ascii="Calibri" w:hAnsi="Calibri" w:cs="Calibri"/>
        </w:rPr>
        <w:t xml:space="preserve"> </w:t>
      </w:r>
      <w:r w:rsidR="00F80DA1" w:rsidRPr="00686446">
        <w:rPr>
          <w:rFonts w:ascii="Calibri" w:hAnsi="Calibri" w:cs="Calibri"/>
          <w:lang w:val="en-US"/>
        </w:rPr>
        <w:t>upoznamo</w:t>
      </w:r>
      <w:r w:rsidR="00F80DA1" w:rsidRPr="00A21581">
        <w:rPr>
          <w:rFonts w:ascii="Calibri" w:hAnsi="Calibri" w:cs="Calibri"/>
        </w:rPr>
        <w:t xml:space="preserve"> </w:t>
      </w:r>
      <w:proofErr w:type="gramStart"/>
      <w:r w:rsidR="00F80DA1" w:rsidRPr="00686446">
        <w:rPr>
          <w:rFonts w:ascii="Calibri" w:hAnsi="Calibri" w:cs="Calibri"/>
          <w:lang w:val="en-US"/>
        </w:rPr>
        <w:t>sa</w:t>
      </w:r>
      <w:proofErr w:type="gramEnd"/>
      <w:r w:rsidR="00F80DA1" w:rsidRPr="00A21581">
        <w:rPr>
          <w:rFonts w:ascii="Calibri" w:hAnsi="Calibri" w:cs="Calibri"/>
        </w:rPr>
        <w:t xml:space="preserve"> </w:t>
      </w:r>
      <w:r w:rsidR="00F80DA1" w:rsidRPr="00686446">
        <w:rPr>
          <w:rFonts w:ascii="Calibri" w:hAnsi="Calibri" w:cs="Calibri"/>
          <w:lang w:val="en-US"/>
        </w:rPr>
        <w:t>sl</w:t>
      </w:r>
      <w:r w:rsidRPr="00686446">
        <w:rPr>
          <w:rFonts w:ascii="Calibri" w:hAnsi="Calibri" w:cs="Calibri"/>
          <w:lang w:val="en-US"/>
        </w:rPr>
        <w:t>jede</w:t>
      </w:r>
      <w:r w:rsidRPr="00A21581">
        <w:rPr>
          <w:rFonts w:ascii="Calibri" w:hAnsi="Calibri" w:cs="Calibri"/>
        </w:rPr>
        <w:t>ć</w:t>
      </w:r>
      <w:r w:rsidRPr="00686446">
        <w:rPr>
          <w:rFonts w:ascii="Calibri" w:hAnsi="Calibri" w:cs="Calibri"/>
          <w:lang w:val="en-US"/>
        </w:rPr>
        <w:t>im</w:t>
      </w:r>
      <w:r w:rsidRPr="00A21581">
        <w:rPr>
          <w:rFonts w:ascii="Calibri" w:hAnsi="Calibri" w:cs="Calibri"/>
        </w:rPr>
        <w:t xml:space="preserve">: </w:t>
      </w:r>
    </w:p>
    <w:p w:rsidR="00C45F8A" w:rsidRPr="00A21581" w:rsidRDefault="00C45F8A" w:rsidP="009D2BFA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686446">
        <w:rPr>
          <w:rFonts w:ascii="Calibri" w:hAnsi="Calibri" w:cs="Calibri"/>
          <w:lang w:val="en-US"/>
        </w:rPr>
        <w:t>Kretanjem</w:t>
      </w:r>
      <w:r w:rsidR="008E0EA9" w:rsidRPr="00A21581">
        <w:rPr>
          <w:rFonts w:ascii="Calibri" w:hAnsi="Calibri" w:cs="Calibri"/>
        </w:rPr>
        <w:t xml:space="preserve"> </w:t>
      </w:r>
      <w:r w:rsidR="008E0EA9" w:rsidRPr="00686446">
        <w:rPr>
          <w:rFonts w:ascii="Calibri" w:hAnsi="Calibri" w:cs="Calibri"/>
          <w:lang w:val="en-US"/>
        </w:rPr>
        <w:t>berzanskih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indeksa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na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doma</w:t>
      </w:r>
      <w:r w:rsidRPr="00A21581">
        <w:rPr>
          <w:rFonts w:ascii="Calibri" w:hAnsi="Calibri" w:cs="Calibri"/>
        </w:rPr>
        <w:t>ć</w:t>
      </w:r>
      <w:r w:rsidRPr="00686446">
        <w:rPr>
          <w:rFonts w:ascii="Calibri" w:hAnsi="Calibri" w:cs="Calibri"/>
          <w:lang w:val="en-US"/>
        </w:rPr>
        <w:t>im</w:t>
      </w:r>
      <w:r w:rsidR="00B35E4F">
        <w:rPr>
          <w:rFonts w:ascii="Calibri" w:hAnsi="Calibri" w:cs="Calibri"/>
          <w:lang w:val="en-US"/>
        </w:rPr>
        <w:t>, svjetskim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i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berzama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u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okru</w:t>
      </w:r>
      <w:r w:rsidRPr="00A21581">
        <w:rPr>
          <w:rFonts w:ascii="Calibri" w:hAnsi="Calibri" w:cs="Calibri"/>
        </w:rPr>
        <w:t>ž</w:t>
      </w:r>
      <w:r w:rsidRPr="00686446">
        <w:rPr>
          <w:rFonts w:ascii="Calibri" w:hAnsi="Calibri" w:cs="Calibri"/>
          <w:lang w:val="en-US"/>
        </w:rPr>
        <w:t>enju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u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izvje</w:t>
      </w:r>
      <w:r w:rsidRPr="00A21581">
        <w:rPr>
          <w:rFonts w:ascii="Calibri" w:hAnsi="Calibri" w:cs="Calibri"/>
        </w:rPr>
        <w:t>š</w:t>
      </w:r>
      <w:r w:rsidRPr="00686446">
        <w:rPr>
          <w:rFonts w:ascii="Calibri" w:hAnsi="Calibri" w:cs="Calibri"/>
          <w:lang w:val="en-US"/>
        </w:rPr>
        <w:t>tajnom</w:t>
      </w:r>
      <w:r w:rsidRPr="00A21581">
        <w:rPr>
          <w:rFonts w:ascii="Calibri" w:hAnsi="Calibri" w:cs="Calibri"/>
        </w:rPr>
        <w:t xml:space="preserve"> </w:t>
      </w:r>
      <w:r w:rsidRPr="00686446">
        <w:rPr>
          <w:rFonts w:ascii="Calibri" w:hAnsi="Calibri" w:cs="Calibri"/>
          <w:lang w:val="en-US"/>
        </w:rPr>
        <w:t>periodu</w:t>
      </w:r>
      <w:r w:rsidR="005833C3" w:rsidRPr="00686446">
        <w:rPr>
          <w:rFonts w:ascii="Calibri" w:hAnsi="Calibri" w:cs="Calibri"/>
        </w:rPr>
        <w:t>;</w:t>
      </w:r>
    </w:p>
    <w:p w:rsidR="00871469" w:rsidRDefault="00DC67C2" w:rsidP="0081129B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Kupovinama i prodajama hov</w:t>
      </w:r>
      <w:r w:rsidR="0081129B">
        <w:rPr>
          <w:rFonts w:ascii="Calibri" w:hAnsi="Calibri" w:cs="Calibri"/>
          <w:lang w:val="en-US"/>
        </w:rPr>
        <w:t xml:space="preserve"> iz portfelja </w:t>
      </w:r>
      <w:r w:rsidR="0081129B" w:rsidRPr="0081129B">
        <w:rPr>
          <w:rFonts w:ascii="Calibri" w:hAnsi="Calibri" w:cs="Calibri"/>
          <w:lang w:val="en-US"/>
        </w:rPr>
        <w:t>O</w:t>
      </w:r>
      <w:r w:rsidR="00D57739">
        <w:rPr>
          <w:rFonts w:ascii="Calibri" w:hAnsi="Calibri" w:cs="Calibri"/>
          <w:lang w:val="en-US"/>
        </w:rPr>
        <w:t>M</w:t>
      </w:r>
      <w:r w:rsidR="0081129B" w:rsidRPr="0081129B">
        <w:rPr>
          <w:rFonts w:ascii="Calibri" w:hAnsi="Calibri" w:cs="Calibri"/>
          <w:lang w:val="en-US"/>
        </w:rPr>
        <w:t xml:space="preserve">IF-a </w:t>
      </w:r>
      <w:r w:rsidR="00BB0EC3">
        <w:rPr>
          <w:rFonts w:ascii="Calibri" w:hAnsi="Calibri" w:cs="Calibri"/>
          <w:lang w:val="en-US"/>
        </w:rPr>
        <w:t>Maximus</w:t>
      </w:r>
      <w:r w:rsidR="00D57739">
        <w:rPr>
          <w:rFonts w:ascii="Calibri" w:hAnsi="Calibri" w:cs="Calibri"/>
          <w:lang w:val="en-US"/>
        </w:rPr>
        <w:t xml:space="preserve"> fund</w:t>
      </w:r>
      <w:r w:rsidR="005833C3" w:rsidRPr="00686446">
        <w:rPr>
          <w:rFonts w:ascii="Calibri" w:hAnsi="Calibri" w:cs="Calibri"/>
          <w:lang w:val="en-US"/>
        </w:rPr>
        <w:t>;</w:t>
      </w:r>
    </w:p>
    <w:p w:rsidR="00BB0EC3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Kretanjem neto vrijednosti imovine Fonda</w:t>
      </w:r>
    </w:p>
    <w:p w:rsidR="00BB0EC3" w:rsidRPr="00686446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BB0EC3">
        <w:rPr>
          <w:rFonts w:ascii="Calibri" w:hAnsi="Calibri" w:cs="Calibri"/>
          <w:lang w:val="en-US"/>
        </w:rPr>
        <w:t>Portfeljem Fonda</w:t>
      </w:r>
    </w:p>
    <w:p w:rsidR="00C45F8A" w:rsidRPr="00BB0EC3" w:rsidRDefault="00C45F8A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Bilansnim pokazateljima</w:t>
      </w:r>
      <w:r w:rsidR="001107DD" w:rsidRPr="00686446">
        <w:rPr>
          <w:rFonts w:ascii="Calibri" w:hAnsi="Calibri" w:cs="Calibri"/>
          <w:lang w:val="en-US"/>
        </w:rPr>
        <w:t xml:space="preserve"> </w:t>
      </w:r>
      <w:r w:rsidR="00D57739" w:rsidRPr="00D57739">
        <w:rPr>
          <w:rFonts w:ascii="Calibri" w:hAnsi="Calibri" w:cs="Calibri"/>
          <w:lang w:val="en-US"/>
        </w:rPr>
        <w:t xml:space="preserve">OMIF-a </w:t>
      </w:r>
      <w:r w:rsidR="00BB0EC3">
        <w:rPr>
          <w:rFonts w:ascii="Calibri" w:hAnsi="Calibri" w:cs="Calibri"/>
          <w:lang w:val="en-US"/>
        </w:rPr>
        <w:t>Maximus</w:t>
      </w:r>
      <w:r w:rsidR="00D57739" w:rsidRPr="00D57739">
        <w:rPr>
          <w:rFonts w:ascii="Calibri" w:hAnsi="Calibri" w:cs="Calibri"/>
          <w:lang w:val="en-US"/>
        </w:rPr>
        <w:t xml:space="preserve"> fund</w:t>
      </w:r>
      <w:r w:rsidR="005833C3" w:rsidRPr="00686446">
        <w:rPr>
          <w:rFonts w:ascii="Calibri" w:hAnsi="Calibri" w:cs="Calibri"/>
          <w:lang w:val="en-US"/>
        </w:rPr>
        <w:t>;</w:t>
      </w:r>
      <w:r w:rsidR="001107DD" w:rsidRPr="00686446">
        <w:rPr>
          <w:rFonts w:ascii="Calibri" w:hAnsi="Calibri" w:cs="Calibri"/>
          <w:lang w:val="en-US"/>
        </w:rPr>
        <w:t xml:space="preserve"> </w:t>
      </w:r>
    </w:p>
    <w:p w:rsidR="0034280D" w:rsidRDefault="0034280D" w:rsidP="00E3145B">
      <w:pPr>
        <w:ind w:left="360"/>
        <w:rPr>
          <w:rFonts w:ascii="Calibri" w:hAnsi="Calibri" w:cs="Calibri"/>
          <w:lang w:val="en-US"/>
        </w:rPr>
      </w:pPr>
    </w:p>
    <w:p w:rsidR="0055577B" w:rsidRPr="00686446" w:rsidRDefault="0055577B" w:rsidP="00E3145B">
      <w:pPr>
        <w:ind w:left="360"/>
        <w:rPr>
          <w:rFonts w:ascii="Calibri" w:hAnsi="Calibri" w:cs="Calibri"/>
          <w:lang w:val="en-US"/>
        </w:rPr>
      </w:pPr>
    </w:p>
    <w:p w:rsidR="00645F2D" w:rsidRPr="00686446" w:rsidRDefault="004C1E16" w:rsidP="0034280D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686446">
        <w:rPr>
          <w:rFonts w:ascii="Calibri" w:hAnsi="Calibri" w:cs="Calibri"/>
          <w:b/>
        </w:rPr>
        <w:t>Kretanje berzanskih indeksa</w:t>
      </w:r>
    </w:p>
    <w:p w:rsidR="0034280D" w:rsidRPr="00686446" w:rsidRDefault="0034280D" w:rsidP="0034280D">
      <w:pPr>
        <w:jc w:val="both"/>
        <w:rPr>
          <w:rFonts w:ascii="Calibri" w:hAnsi="Calibri" w:cs="Calibri"/>
          <w:b/>
        </w:rPr>
      </w:pPr>
    </w:p>
    <w:p w:rsidR="00663680" w:rsidRPr="004A5A09" w:rsidRDefault="00663680" w:rsidP="00663680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ovom dijelu izvještaja</w:t>
      </w:r>
      <w:r>
        <w:rPr>
          <w:rFonts w:ascii="Calibri" w:hAnsi="Calibri" w:cs="Calibri"/>
        </w:rPr>
        <w:t xml:space="preserve"> nalazi se</w:t>
      </w:r>
      <w:r w:rsidRPr="004A5A09">
        <w:rPr>
          <w:rFonts w:ascii="Calibri" w:hAnsi="Calibri" w:cs="Calibri"/>
        </w:rPr>
        <w:t xml:space="preserve"> prikaz osnovnih podataka </w:t>
      </w:r>
      <w:r>
        <w:rPr>
          <w:rFonts w:ascii="Calibri" w:hAnsi="Calibri" w:cs="Calibri"/>
        </w:rPr>
        <w:t xml:space="preserve"> i </w:t>
      </w:r>
      <w:r w:rsidRPr="004A5A09">
        <w:rPr>
          <w:rFonts w:ascii="Calibri" w:hAnsi="Calibri" w:cs="Calibri"/>
        </w:rPr>
        <w:t xml:space="preserve">komentar dešavanja na Banjalučkoj berzi, </w:t>
      </w:r>
      <w:r>
        <w:rPr>
          <w:rFonts w:ascii="Calibri" w:hAnsi="Calibri" w:cs="Calibri"/>
        </w:rPr>
        <w:t xml:space="preserve">te </w:t>
      </w:r>
      <w:r w:rsidRPr="004A5A09">
        <w:rPr>
          <w:rFonts w:ascii="Calibri" w:hAnsi="Calibri" w:cs="Calibri"/>
        </w:rPr>
        <w:t>kretanje vrijednosti osno</w:t>
      </w:r>
      <w:r>
        <w:rPr>
          <w:rFonts w:ascii="Calibri" w:hAnsi="Calibri" w:cs="Calibri"/>
        </w:rPr>
        <w:t>vnih indeksa regionalnih</w:t>
      </w:r>
      <w:r w:rsidR="009874D7">
        <w:rPr>
          <w:rFonts w:ascii="Calibri" w:hAnsi="Calibri" w:cs="Calibri"/>
        </w:rPr>
        <w:t xml:space="preserve"> i svjetskih</w:t>
      </w:r>
      <w:r w:rsidR="00D5773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berzi. 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12493E" w:rsidRPr="003F146E" w:rsidRDefault="0012493E" w:rsidP="0012493E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t>Banjalučka berza</w:t>
      </w:r>
    </w:p>
    <w:p w:rsidR="0012493E" w:rsidRPr="004A5A09" w:rsidRDefault="0012493E" w:rsidP="0012493E">
      <w:pPr>
        <w:rPr>
          <w:rFonts w:ascii="Calibri" w:hAnsi="Calibri" w:cs="Calibri"/>
        </w:rPr>
      </w:pPr>
    </w:p>
    <w:p w:rsidR="0012493E" w:rsidRDefault="0012493E" w:rsidP="0012493E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narednoj tabeli prikazani su mjesečni iznosi vrijednosti ukupnog prometa te visina osnovnih berzanskih indeksa Banjalučke berze za izvještajni vremenski perio</w:t>
      </w:r>
      <w:r>
        <w:rPr>
          <w:rFonts w:ascii="Calibri" w:hAnsi="Calibri" w:cs="Calibri"/>
        </w:rPr>
        <w:t>d</w:t>
      </w:r>
      <w:r w:rsidRPr="004A5A09">
        <w:rPr>
          <w:rFonts w:ascii="Calibri" w:hAnsi="Calibri" w:cs="Calibri"/>
        </w:rPr>
        <w:t>:</w:t>
      </w:r>
    </w:p>
    <w:p w:rsidR="0061682F" w:rsidRDefault="0061682F" w:rsidP="0012493E">
      <w:pPr>
        <w:jc w:val="both"/>
        <w:rPr>
          <w:rFonts w:ascii="Calibri" w:hAnsi="Calibri" w:cs="Calibri"/>
        </w:rPr>
      </w:pPr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2642"/>
        <w:gridCol w:w="2642"/>
        <w:gridCol w:w="1852"/>
        <w:gridCol w:w="1852"/>
      </w:tblGrid>
      <w:tr w:rsidR="00D35773" w:rsidTr="00D35773">
        <w:trPr>
          <w:trHeight w:val="272"/>
        </w:trPr>
        <w:tc>
          <w:tcPr>
            <w:tcW w:w="264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264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PROMET u KM</w:t>
            </w:r>
          </w:p>
        </w:tc>
        <w:tc>
          <w:tcPr>
            <w:tcW w:w="185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BIRS</w:t>
            </w:r>
          </w:p>
        </w:tc>
        <w:tc>
          <w:tcPr>
            <w:tcW w:w="185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ORS</w:t>
            </w:r>
          </w:p>
        </w:tc>
      </w:tr>
      <w:tr w:rsidR="00D35773" w:rsidTr="00D35773">
        <w:trPr>
          <w:trHeight w:val="259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667,93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2.920,61</w:t>
            </w:r>
          </w:p>
        </w:tc>
      </w:tr>
      <w:tr w:rsidR="00D35773" w:rsidTr="00D35773">
        <w:trPr>
          <w:trHeight w:val="259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9.370.057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842,83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2.925,66</w:t>
            </w:r>
          </w:p>
        </w:tc>
      </w:tr>
      <w:tr w:rsidR="00D35773" w:rsidTr="00D35773">
        <w:trPr>
          <w:trHeight w:val="259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12.368.017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782,39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2.941,56</w:t>
            </w:r>
          </w:p>
        </w:tc>
      </w:tr>
      <w:tr w:rsidR="00D35773" w:rsidTr="00D35773">
        <w:trPr>
          <w:trHeight w:val="259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111.747.627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792,26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2.937,52</w:t>
            </w:r>
          </w:p>
        </w:tc>
      </w:tr>
      <w:tr w:rsidR="00D35773" w:rsidTr="00D35773">
        <w:trPr>
          <w:trHeight w:val="259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70.905.547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789,99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2.938,64</w:t>
            </w:r>
          </w:p>
        </w:tc>
      </w:tr>
      <w:tr w:rsidR="00D35773" w:rsidTr="00D35773">
        <w:trPr>
          <w:trHeight w:val="259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64.144.270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791,50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2.931,51</w:t>
            </w:r>
          </w:p>
        </w:tc>
      </w:tr>
      <w:tr w:rsidR="00D35773" w:rsidTr="00D35773">
        <w:trPr>
          <w:trHeight w:val="272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25.928.847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738,44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2.938,81</w:t>
            </w:r>
          </w:p>
        </w:tc>
      </w:tr>
      <w:tr w:rsidR="00D35773" w:rsidTr="00D35773">
        <w:trPr>
          <w:trHeight w:val="272"/>
        </w:trPr>
        <w:tc>
          <w:tcPr>
            <w:tcW w:w="264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264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10,56%</w:t>
            </w:r>
          </w:p>
        </w:tc>
        <w:tc>
          <w:tcPr>
            <w:tcW w:w="185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0,62%</w:t>
            </w:r>
          </w:p>
        </w:tc>
      </w:tr>
    </w:tbl>
    <w:p w:rsidR="00D63785" w:rsidRDefault="00D63785" w:rsidP="00D63785">
      <w:pPr>
        <w:jc w:val="both"/>
        <w:rPr>
          <w:rFonts w:ascii="Calibri" w:hAnsi="Calibri" w:cs="Calibri"/>
        </w:rPr>
      </w:pPr>
    </w:p>
    <w:p w:rsidR="00D35773" w:rsidRPr="00D35773" w:rsidRDefault="00D35773" w:rsidP="00D35773">
      <w:pPr>
        <w:jc w:val="both"/>
        <w:rPr>
          <w:rFonts w:ascii="Calibri" w:hAnsi="Calibri" w:cs="Calibri"/>
        </w:rPr>
      </w:pPr>
      <w:r w:rsidRPr="00D35773">
        <w:rPr>
          <w:rFonts w:ascii="Calibri" w:hAnsi="Calibri" w:cs="Calibri"/>
        </w:rPr>
        <w:t>U odnosu na 31.12.2021.godine, na dan 30.06.2022.godine indeks BIRS ostvario je rast od 10,56%, najvećim dijelom zbog snažnog rasta cijena akcija iz sistema elektroprivrede i Telekoma Srpske u prvom kvartalu dok je sa druge strane, Indeks obveznica Republike Srpske zabilježio blagi rast u posmatranom periodu, tako da je u prvom polugodištu 2022.godine ostvario rast od 0,62%.</w:t>
      </w:r>
    </w:p>
    <w:p w:rsidR="00D63785" w:rsidRPr="00D35773" w:rsidRDefault="00D35773" w:rsidP="00D35773">
      <w:pPr>
        <w:jc w:val="both"/>
        <w:rPr>
          <w:rFonts w:ascii="Calibri" w:hAnsi="Calibri" w:cs="Calibri"/>
          <w:i/>
          <w:u w:val="single"/>
        </w:rPr>
      </w:pPr>
      <w:r w:rsidRPr="00D35773">
        <w:rPr>
          <w:rFonts w:ascii="Calibri" w:hAnsi="Calibri" w:cs="Calibri"/>
        </w:rPr>
        <w:t>Najveći dio ostvarenog prometa u 2022.godini odnosio se na emisije trezorskih zapisa i primarne emisije obveznica emitovanih od strane Republike Srpske.</w:t>
      </w:r>
    </w:p>
    <w:p w:rsidR="00D35773" w:rsidRDefault="00D35773" w:rsidP="0012493E">
      <w:pPr>
        <w:rPr>
          <w:rFonts w:ascii="Calibri" w:hAnsi="Calibri" w:cs="Calibri"/>
          <w:i/>
          <w:u w:val="single"/>
        </w:rPr>
      </w:pPr>
    </w:p>
    <w:p w:rsidR="00D35773" w:rsidRDefault="00D35773" w:rsidP="0012493E">
      <w:pPr>
        <w:rPr>
          <w:rFonts w:ascii="Calibri" w:hAnsi="Calibri" w:cs="Calibri"/>
          <w:i/>
          <w:u w:val="single"/>
        </w:rPr>
      </w:pPr>
    </w:p>
    <w:p w:rsidR="0012493E" w:rsidRPr="003F146E" w:rsidRDefault="0012493E" w:rsidP="0012493E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t>Regionalne berze</w:t>
      </w:r>
    </w:p>
    <w:p w:rsidR="0012493E" w:rsidRPr="004A5A09" w:rsidRDefault="0012493E" w:rsidP="0012493E">
      <w:pPr>
        <w:rPr>
          <w:rFonts w:ascii="Calibri" w:hAnsi="Calibri" w:cs="Calibri"/>
        </w:rPr>
      </w:pPr>
    </w:p>
    <w:p w:rsidR="00FA7A8F" w:rsidRDefault="0012493E" w:rsidP="0012493E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 xml:space="preserve">U narednoj tabeli prikazane su vrijednosti regionalnih berzanskih indeksa, za izvještajni vremenski period. </w:t>
      </w:r>
      <w:r>
        <w:rPr>
          <w:rFonts w:ascii="Calibri" w:hAnsi="Calibri" w:cs="Calibri"/>
        </w:rPr>
        <w:t>Pod regionalnim berzama podrazumijevamo berze na području bivše Jugoslavije, sa izuzetkom Banjalučke berze.</w:t>
      </w:r>
    </w:p>
    <w:p w:rsidR="00D35773" w:rsidRDefault="00D35773" w:rsidP="0012493E">
      <w:pPr>
        <w:jc w:val="both"/>
        <w:rPr>
          <w:rFonts w:ascii="Calibri" w:hAnsi="Calibri" w:cs="Calibri"/>
        </w:rPr>
      </w:pPr>
    </w:p>
    <w:p w:rsidR="00D35773" w:rsidRDefault="00D35773" w:rsidP="0012493E">
      <w:pPr>
        <w:jc w:val="both"/>
        <w:rPr>
          <w:rFonts w:ascii="Calibri" w:hAnsi="Calibri" w:cs="Calibri"/>
        </w:rPr>
      </w:pPr>
    </w:p>
    <w:p w:rsidR="00D35773" w:rsidRDefault="00D35773" w:rsidP="0012493E">
      <w:pPr>
        <w:jc w:val="both"/>
        <w:rPr>
          <w:rFonts w:ascii="Calibri" w:hAnsi="Calibri" w:cs="Calibri"/>
        </w:rPr>
      </w:pPr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2174"/>
        <w:gridCol w:w="1359"/>
        <w:gridCol w:w="1275"/>
        <w:gridCol w:w="1379"/>
        <w:gridCol w:w="1338"/>
        <w:gridCol w:w="1463"/>
      </w:tblGrid>
      <w:tr w:rsidR="00D35773" w:rsidTr="00D35773">
        <w:trPr>
          <w:trHeight w:val="269"/>
        </w:trPr>
        <w:tc>
          <w:tcPr>
            <w:tcW w:w="2174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MJESEC</w:t>
            </w:r>
          </w:p>
        </w:tc>
        <w:tc>
          <w:tcPr>
            <w:tcW w:w="1359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SASX10 (Sarajevo)</w:t>
            </w:r>
          </w:p>
        </w:tc>
        <w:tc>
          <w:tcPr>
            <w:tcW w:w="1275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BELEX15 (Beograd)</w:t>
            </w:r>
          </w:p>
        </w:tc>
        <w:tc>
          <w:tcPr>
            <w:tcW w:w="1379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CROBEX (Zagreb)</w:t>
            </w:r>
          </w:p>
        </w:tc>
        <w:tc>
          <w:tcPr>
            <w:tcW w:w="1338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MNSE10 (Crna Gora)</w:t>
            </w:r>
          </w:p>
        </w:tc>
        <w:tc>
          <w:tcPr>
            <w:tcW w:w="1463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SBI TOP (Ljubljana)</w:t>
            </w:r>
          </w:p>
        </w:tc>
      </w:tr>
      <w:tr w:rsidR="00D35773" w:rsidTr="00D35773">
        <w:trPr>
          <w:trHeight w:val="277"/>
        </w:trPr>
        <w:tc>
          <w:tcPr>
            <w:tcW w:w="2174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5773" w:rsidTr="00D35773">
        <w:trPr>
          <w:trHeight w:val="26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820,78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2.079,35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764,72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1.258,80</w:t>
            </w:r>
          </w:p>
        </w:tc>
      </w:tr>
      <w:tr w:rsidR="00D35773" w:rsidTr="00D35773">
        <w:trPr>
          <w:trHeight w:val="26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965,45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858,86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2.132,61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776,46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1.290,79</w:t>
            </w:r>
          </w:p>
        </w:tc>
      </w:tr>
      <w:tr w:rsidR="00D35773" w:rsidTr="00D35773">
        <w:trPr>
          <w:trHeight w:val="26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940,90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834,64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1.999,68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763,36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1.093,91</w:t>
            </w:r>
          </w:p>
        </w:tc>
      </w:tr>
      <w:tr w:rsidR="00D35773" w:rsidTr="00D35773">
        <w:trPr>
          <w:trHeight w:val="26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917,40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840,53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2.098,47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778,83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1.206,03</w:t>
            </w:r>
          </w:p>
        </w:tc>
      </w:tr>
      <w:tr w:rsidR="00D35773" w:rsidTr="00D35773">
        <w:trPr>
          <w:trHeight w:val="26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959,80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827,16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2.129,32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790,67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1.171,97</w:t>
            </w:r>
          </w:p>
        </w:tc>
      </w:tr>
      <w:tr w:rsidR="00D35773" w:rsidTr="00D35773">
        <w:trPr>
          <w:trHeight w:val="264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830,92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2.078,38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793,20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1.145,90</w:t>
            </w:r>
          </w:p>
        </w:tc>
      </w:tr>
      <w:tr w:rsidR="00D35773" w:rsidTr="00D35773">
        <w:trPr>
          <w:trHeight w:val="277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1.012,88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839,62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2.012,13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806,57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1.118,45</w:t>
            </w:r>
          </w:p>
        </w:tc>
      </w:tr>
      <w:tr w:rsidR="00D35773" w:rsidTr="00D35773">
        <w:trPr>
          <w:trHeight w:val="277"/>
        </w:trPr>
        <w:tc>
          <w:tcPr>
            <w:tcW w:w="2174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135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2,11%</w:t>
            </w:r>
          </w:p>
        </w:tc>
        <w:tc>
          <w:tcPr>
            <w:tcW w:w="1275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2,30%</w:t>
            </w:r>
          </w:p>
        </w:tc>
        <w:tc>
          <w:tcPr>
            <w:tcW w:w="1379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-3,23%</w:t>
            </w:r>
          </w:p>
        </w:tc>
        <w:tc>
          <w:tcPr>
            <w:tcW w:w="1338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5,47%</w:t>
            </w:r>
          </w:p>
        </w:tc>
        <w:tc>
          <w:tcPr>
            <w:tcW w:w="146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-11,15%</w:t>
            </w:r>
          </w:p>
        </w:tc>
      </w:tr>
    </w:tbl>
    <w:p w:rsidR="00D35773" w:rsidRDefault="00D35773" w:rsidP="00645F2D">
      <w:pPr>
        <w:jc w:val="both"/>
        <w:rPr>
          <w:rFonts w:ascii="Calibri" w:hAnsi="Calibri" w:cs="Calibri"/>
        </w:rPr>
      </w:pPr>
    </w:p>
    <w:p w:rsidR="00D63785" w:rsidRDefault="00D35773" w:rsidP="00645F2D">
      <w:pPr>
        <w:jc w:val="both"/>
        <w:rPr>
          <w:rFonts w:ascii="Calibri" w:hAnsi="Calibri" w:cs="Calibri"/>
        </w:rPr>
      </w:pPr>
      <w:r w:rsidRPr="00D35773">
        <w:rPr>
          <w:rFonts w:ascii="Calibri" w:hAnsi="Calibri" w:cs="Calibri"/>
        </w:rPr>
        <w:t>U prvom polugodištu tekuće godine regionalne berze su zabilježile različita kretanja vrijednosti primarnih indeksa. Najveći rast je ostvario indeks MNSE10 crnogorske berze od 5,47% zatim indeks beogradske berze BELEX15 koji je ostvario rast od 2,30% a zatim indeks Sarajevske berze (SASX10) koji je od početka godine viši za 2,11%. Indeks Zagrebačke berze je ostvario pad od 3,23 % dok je indeks Ljubljanske berze od početka godine ostvario pad od  11,15%.</w:t>
      </w:r>
    </w:p>
    <w:p w:rsidR="00D35773" w:rsidRDefault="00D35773" w:rsidP="00645F2D">
      <w:pPr>
        <w:jc w:val="both"/>
        <w:rPr>
          <w:rFonts w:ascii="Calibri" w:hAnsi="Calibri" w:cs="Calibri"/>
        </w:rPr>
      </w:pPr>
    </w:p>
    <w:p w:rsidR="00544F16" w:rsidRDefault="00544F16" w:rsidP="00544F16">
      <w:pPr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  <w:i/>
          <w:u w:val="single"/>
        </w:rPr>
        <w:t>Svjetske  berze</w:t>
      </w:r>
    </w:p>
    <w:p w:rsidR="00544F16" w:rsidRDefault="00544F16" w:rsidP="00544F16">
      <w:pPr>
        <w:jc w:val="both"/>
        <w:rPr>
          <w:rFonts w:ascii="Calibri" w:hAnsi="Calibri" w:cs="Calibri"/>
        </w:rPr>
      </w:pPr>
    </w:p>
    <w:p w:rsidR="00544F16" w:rsidRDefault="00544F16" w:rsidP="00544F1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narednoj tabeli prikazane su vrijednosti vodećih svjetskih berzanskih indeksa, za izvještajni vremenski period.</w:t>
      </w:r>
    </w:p>
    <w:p w:rsidR="008162A0" w:rsidRDefault="008162A0" w:rsidP="00544F16">
      <w:pPr>
        <w:jc w:val="both"/>
        <w:rPr>
          <w:rFonts w:ascii="Calibri" w:hAnsi="Calibri" w:cs="Calibri"/>
        </w:rPr>
      </w:pPr>
    </w:p>
    <w:tbl>
      <w:tblPr>
        <w:tblW w:w="9127" w:type="dxa"/>
        <w:tblInd w:w="108" w:type="dxa"/>
        <w:tblLook w:val="04A0" w:firstRow="1" w:lastRow="0" w:firstColumn="1" w:lastColumn="0" w:noHBand="0" w:noVBand="1"/>
      </w:tblPr>
      <w:tblGrid>
        <w:gridCol w:w="1956"/>
        <w:gridCol w:w="1227"/>
        <w:gridCol w:w="1246"/>
        <w:gridCol w:w="1285"/>
        <w:gridCol w:w="1726"/>
        <w:gridCol w:w="1687"/>
      </w:tblGrid>
      <w:tr w:rsidR="00D35773" w:rsidTr="00D35773">
        <w:trPr>
          <w:trHeight w:val="269"/>
        </w:trPr>
        <w:tc>
          <w:tcPr>
            <w:tcW w:w="1956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1227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DAX</w:t>
            </w:r>
          </w:p>
        </w:tc>
        <w:tc>
          <w:tcPr>
            <w:tcW w:w="1246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FTSE 100</w:t>
            </w:r>
          </w:p>
        </w:tc>
        <w:tc>
          <w:tcPr>
            <w:tcW w:w="1285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DJIA</w:t>
            </w:r>
          </w:p>
        </w:tc>
        <w:tc>
          <w:tcPr>
            <w:tcW w:w="1726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 EURO STOXX50</w:t>
            </w:r>
          </w:p>
        </w:tc>
        <w:tc>
          <w:tcPr>
            <w:tcW w:w="1687" w:type="dxa"/>
            <w:vMerge w:val="restart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Nasdaq 100</w:t>
            </w:r>
          </w:p>
        </w:tc>
      </w:tr>
      <w:tr w:rsidR="00D35773" w:rsidTr="00D35773">
        <w:trPr>
          <w:trHeight w:val="275"/>
        </w:trPr>
        <w:tc>
          <w:tcPr>
            <w:tcW w:w="1956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5773" w:rsidTr="00D35773">
        <w:trPr>
          <w:trHeight w:val="262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15.884,86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7.384,54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36.338,30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4.306,07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15.644,97</w:t>
            </w:r>
          </w:p>
        </w:tc>
      </w:tr>
      <w:tr w:rsidR="00D35773" w:rsidTr="00D35773">
        <w:trPr>
          <w:trHeight w:val="262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15.471,20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7.464,37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35.131,86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4.174,60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14.239,88</w:t>
            </w:r>
          </w:p>
        </w:tc>
      </w:tr>
      <w:tr w:rsidR="00D35773" w:rsidTr="00D35773">
        <w:trPr>
          <w:trHeight w:val="262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14.461,02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7.458,25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33.892,60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3.924,23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13.751,40</w:t>
            </w:r>
          </w:p>
        </w:tc>
      </w:tr>
      <w:tr w:rsidR="00D35773" w:rsidTr="00D35773">
        <w:trPr>
          <w:trHeight w:val="262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14.414,75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7.515,68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34.678,35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3.902,52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14.220,52</w:t>
            </w:r>
          </w:p>
        </w:tc>
      </w:tr>
      <w:tr w:rsidR="00D35773" w:rsidTr="00D35773">
        <w:trPr>
          <w:trHeight w:val="262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14.097,88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7.544,55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32.977,21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3.802,86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12.334,64</w:t>
            </w:r>
          </w:p>
        </w:tc>
      </w:tr>
      <w:tr w:rsidR="00D35773" w:rsidTr="00D35773">
        <w:trPr>
          <w:trHeight w:val="262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14.388,35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7.607,66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32.990,12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3.789,21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12.081,39</w:t>
            </w:r>
          </w:p>
        </w:tc>
      </w:tr>
      <w:tr w:rsidR="00D35773" w:rsidTr="00D35773">
        <w:trPr>
          <w:trHeight w:val="262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12.783,77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7.169,28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30.775,43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3.454,86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11.028,74</w:t>
            </w:r>
          </w:p>
        </w:tc>
      </w:tr>
      <w:tr w:rsidR="00D35773" w:rsidTr="00D35773">
        <w:trPr>
          <w:trHeight w:val="275"/>
        </w:trPr>
        <w:tc>
          <w:tcPr>
            <w:tcW w:w="1956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-19,52%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-2,92%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-15,31%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-19,77%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-29,51%</w:t>
            </w:r>
          </w:p>
        </w:tc>
      </w:tr>
    </w:tbl>
    <w:p w:rsidR="008162A0" w:rsidRDefault="008162A0" w:rsidP="00544F16">
      <w:pPr>
        <w:jc w:val="both"/>
        <w:rPr>
          <w:rFonts w:ascii="Calibri" w:hAnsi="Calibri" w:cs="Calibri"/>
        </w:rPr>
      </w:pPr>
    </w:p>
    <w:p w:rsidR="00544F16" w:rsidRDefault="00D35773" w:rsidP="00645F2D">
      <w:pPr>
        <w:jc w:val="both"/>
        <w:rPr>
          <w:rFonts w:ascii="Calibri" w:hAnsi="Calibri" w:cs="Calibri"/>
        </w:rPr>
      </w:pPr>
      <w:r w:rsidRPr="00D35773">
        <w:rPr>
          <w:rFonts w:ascii="Calibri" w:hAnsi="Calibri" w:cs="Calibri"/>
        </w:rPr>
        <w:t>U posmatranom vremenskom periodu svi posmatrani indeksi su ostvarili pad vrijednosti,Nasdaq 100 indeks je imao najveći pad od 29,51%, a najmanji pad je imao indeks FTSE100, koji je imao pad od 2,92%.</w:t>
      </w:r>
    </w:p>
    <w:p w:rsidR="00D35773" w:rsidRDefault="00D35773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55577B" w:rsidRDefault="0055577B" w:rsidP="00645F2D">
      <w:pPr>
        <w:jc w:val="both"/>
        <w:rPr>
          <w:rFonts w:ascii="Calibri" w:hAnsi="Calibri" w:cs="Calibri"/>
        </w:rPr>
      </w:pPr>
    </w:p>
    <w:p w:rsidR="00827B53" w:rsidRPr="004B52A9" w:rsidRDefault="00827B53" w:rsidP="00645F2D">
      <w:pPr>
        <w:jc w:val="both"/>
        <w:rPr>
          <w:rFonts w:ascii="Calibri" w:hAnsi="Calibri" w:cs="Calibri"/>
        </w:rPr>
      </w:pPr>
    </w:p>
    <w:p w:rsidR="00AA2D3D" w:rsidRPr="00473739" w:rsidRDefault="00DC67C2" w:rsidP="00445B19">
      <w:pPr>
        <w:numPr>
          <w:ilvl w:val="0"/>
          <w:numId w:val="7"/>
        </w:numPr>
        <w:rPr>
          <w:rFonts w:ascii="Calibri" w:hAnsi="Calibri" w:cs="Calibri"/>
          <w:b/>
        </w:rPr>
      </w:pPr>
      <w:r w:rsidRPr="00473739">
        <w:rPr>
          <w:rFonts w:ascii="Calibri" w:hAnsi="Calibri" w:cs="Calibri"/>
          <w:b/>
        </w:rPr>
        <w:lastRenderedPageBreak/>
        <w:t>Kupovina i prodaja hartija od vrijednosti</w:t>
      </w:r>
    </w:p>
    <w:p w:rsidR="00445B19" w:rsidRPr="00686446" w:rsidRDefault="00445B19" w:rsidP="00445B19">
      <w:pPr>
        <w:rPr>
          <w:rFonts w:ascii="Calibri" w:hAnsi="Calibri" w:cs="Calibri"/>
          <w:lang w:val="en-US"/>
        </w:rPr>
      </w:pPr>
    </w:p>
    <w:p w:rsidR="00F53DFB" w:rsidRDefault="00F53DFB" w:rsidP="00F53DF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Prateći investicioni cilj Fonda</w:t>
      </w:r>
      <w:r w:rsidR="009A774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Društvo je u izvještajnom periodu vršilo restruktuiranja portfelja fonda na način na koji je dalje objašnjen.</w:t>
      </w:r>
    </w:p>
    <w:p w:rsidR="00827B53" w:rsidRDefault="00827B53" w:rsidP="00F53DFB">
      <w:pPr>
        <w:jc w:val="both"/>
        <w:rPr>
          <w:rFonts w:ascii="Calibri" w:hAnsi="Calibri" w:cs="Calibri"/>
        </w:rPr>
      </w:pPr>
    </w:p>
    <w:p w:rsidR="00DF0C06" w:rsidRPr="004A5A09" w:rsidRDefault="00DF0C06" w:rsidP="00DF0C06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4A5A09">
        <w:rPr>
          <w:rFonts w:ascii="Calibri" w:hAnsi="Calibri" w:cs="Calibri"/>
        </w:rPr>
        <w:t>.1. Kupovina</w:t>
      </w:r>
      <w:r>
        <w:rPr>
          <w:rFonts w:ascii="Calibri" w:hAnsi="Calibri" w:cs="Calibri"/>
        </w:rPr>
        <w:t xml:space="preserve"> hov</w:t>
      </w:r>
    </w:p>
    <w:p w:rsidR="00DF0C06" w:rsidRDefault="00DF0C06" w:rsidP="00D03DA0">
      <w:pPr>
        <w:jc w:val="both"/>
        <w:rPr>
          <w:rFonts w:ascii="Calibri" w:hAnsi="Calibri" w:cs="Calibri"/>
          <w:color w:val="FF0000"/>
        </w:rPr>
      </w:pPr>
    </w:p>
    <w:tbl>
      <w:tblPr>
        <w:tblW w:w="8966" w:type="dxa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4754"/>
        <w:gridCol w:w="2146"/>
        <w:gridCol w:w="2066"/>
      </w:tblGrid>
      <w:tr w:rsidR="00DF0C06" w:rsidRPr="0094178C" w:rsidTr="008162A0">
        <w:trPr>
          <w:trHeight w:val="259"/>
        </w:trPr>
        <w:tc>
          <w:tcPr>
            <w:tcW w:w="475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DF0C06" w:rsidRPr="0094178C" w:rsidRDefault="00DF0C06" w:rsidP="009417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214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DF0C06" w:rsidRPr="0094178C" w:rsidRDefault="00DF0C06" w:rsidP="009417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kupljenih HOV</w:t>
            </w:r>
          </w:p>
        </w:tc>
        <w:tc>
          <w:tcPr>
            <w:tcW w:w="206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DF0C06" w:rsidRPr="0094178C" w:rsidRDefault="00DF0C06" w:rsidP="009417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9874D7" w:rsidRPr="008D5AC7" w:rsidTr="008162A0">
        <w:trPr>
          <w:trHeight w:val="259"/>
        </w:trPr>
        <w:tc>
          <w:tcPr>
            <w:tcW w:w="475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</w:tcPr>
          <w:p w:rsidR="009874D7" w:rsidRPr="0083252F" w:rsidRDefault="009874D7" w:rsidP="00797C90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874D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Republika Srpska – stara devizna štednja 9</w:t>
            </w:r>
          </w:p>
        </w:tc>
        <w:tc>
          <w:tcPr>
            <w:tcW w:w="214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</w:tcPr>
          <w:p w:rsidR="009874D7" w:rsidRPr="0083252F" w:rsidRDefault="00D35773" w:rsidP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  <w:r w:rsidR="009874D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06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</w:tcPr>
          <w:p w:rsidR="009874D7" w:rsidRPr="0083252F" w:rsidRDefault="00D35773" w:rsidP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</w:t>
            </w:r>
            <w:r w:rsidR="009874D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  <w:r w:rsidR="008162A0">
              <w:rPr>
                <w:rFonts w:ascii="Calibri" w:hAnsi="Calibri" w:cs="Calibri"/>
                <w:color w:val="000000"/>
                <w:sz w:val="22"/>
                <w:szCs w:val="22"/>
              </w:rPr>
              <w:t>,7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9874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6C351C" w:rsidRPr="0094178C" w:rsidTr="008162A0">
        <w:trPr>
          <w:trHeight w:val="259"/>
        </w:trPr>
        <w:tc>
          <w:tcPr>
            <w:tcW w:w="475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6C351C" w:rsidRPr="0094178C" w:rsidRDefault="006C351C" w:rsidP="00797C9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214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6C351C" w:rsidRPr="0094178C" w:rsidRDefault="006C351C" w:rsidP="00797C9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6C351C" w:rsidRPr="0094178C" w:rsidRDefault="00D35773" w:rsidP="0083252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57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725.109,76 </w:t>
            </w:r>
            <w:r w:rsidR="006C351C" w:rsidRPr="0094178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KM</w:t>
            </w:r>
          </w:p>
        </w:tc>
      </w:tr>
    </w:tbl>
    <w:p w:rsidR="00DF0C06" w:rsidRDefault="00DF0C06" w:rsidP="00D03DA0">
      <w:pPr>
        <w:jc w:val="both"/>
        <w:rPr>
          <w:rFonts w:ascii="Calibri" w:hAnsi="Calibri" w:cs="Calibri"/>
          <w:color w:val="FF0000"/>
        </w:rPr>
      </w:pPr>
    </w:p>
    <w:p w:rsidR="007853A2" w:rsidRDefault="00473739" w:rsidP="007853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4F5A2D" w:rsidRPr="00473739">
        <w:rPr>
          <w:rFonts w:ascii="Calibri" w:hAnsi="Calibri" w:cs="Calibri"/>
        </w:rPr>
        <w:t xml:space="preserve"> </w:t>
      </w:r>
      <w:r w:rsidR="00FA7A8F">
        <w:rPr>
          <w:rFonts w:ascii="Calibri" w:hAnsi="Calibri" w:cs="Calibri"/>
        </w:rPr>
        <w:t xml:space="preserve">prvom </w:t>
      </w:r>
      <w:r w:rsidR="00D35773" w:rsidRPr="00D35773">
        <w:rPr>
          <w:rFonts w:ascii="Calibri" w:hAnsi="Calibri" w:cs="Calibri"/>
        </w:rPr>
        <w:t>polugodištu</w:t>
      </w:r>
      <w:r w:rsidR="00FA7A8F">
        <w:rPr>
          <w:rFonts w:ascii="Calibri" w:hAnsi="Calibri" w:cs="Calibri"/>
        </w:rPr>
        <w:t xml:space="preserve"> 2022</w:t>
      </w:r>
      <w:r>
        <w:rPr>
          <w:rFonts w:ascii="Calibri" w:hAnsi="Calibri" w:cs="Calibri"/>
        </w:rPr>
        <w:t>.godini</w:t>
      </w:r>
      <w:r w:rsidR="00E01CA9" w:rsidRPr="00473739">
        <w:rPr>
          <w:rFonts w:ascii="Calibri" w:hAnsi="Calibri" w:cs="Calibri"/>
        </w:rPr>
        <w:t xml:space="preserve"> iz</w:t>
      </w:r>
      <w:r w:rsidR="00EA3D37" w:rsidRPr="00473739">
        <w:rPr>
          <w:rFonts w:ascii="Calibri" w:hAnsi="Calibri" w:cs="Calibri"/>
        </w:rPr>
        <w:t xml:space="preserve">vršena </w:t>
      </w:r>
      <w:r w:rsidR="00E01CA9" w:rsidRPr="00473739">
        <w:rPr>
          <w:rFonts w:ascii="Calibri" w:hAnsi="Calibri" w:cs="Calibri"/>
        </w:rPr>
        <w:t>su</w:t>
      </w:r>
      <w:r w:rsidR="00EA3D37" w:rsidRPr="00473739">
        <w:rPr>
          <w:rFonts w:ascii="Calibri" w:hAnsi="Calibri" w:cs="Calibri"/>
        </w:rPr>
        <w:t xml:space="preserve"> ulaganja</w:t>
      </w:r>
      <w:r w:rsidR="002E7E4E" w:rsidRPr="00473739">
        <w:rPr>
          <w:rFonts w:ascii="Calibri" w:hAnsi="Calibri" w:cs="Calibri"/>
        </w:rPr>
        <w:t xml:space="preserve"> u ukupnom iznosu od </w:t>
      </w:r>
      <w:r w:rsidR="00D35773" w:rsidRPr="00D35773">
        <w:rPr>
          <w:rFonts w:ascii="Calibri" w:hAnsi="Calibri" w:cs="Calibri"/>
        </w:rPr>
        <w:t xml:space="preserve">725.109,76 </w:t>
      </w:r>
      <w:r>
        <w:rPr>
          <w:rFonts w:ascii="Calibri" w:hAnsi="Calibri" w:cs="Calibri"/>
        </w:rPr>
        <w:t>KM</w:t>
      </w:r>
      <w:r w:rsidR="007F1C60">
        <w:rPr>
          <w:rFonts w:ascii="Calibri" w:hAnsi="Calibri" w:cs="Calibri"/>
        </w:rPr>
        <w:t>,</w:t>
      </w:r>
      <w:r w:rsidR="00FA7A8F">
        <w:rPr>
          <w:rFonts w:ascii="Calibri" w:hAnsi="Calibri" w:cs="Calibri"/>
        </w:rPr>
        <w:t xml:space="preserve"> a kompletno ulaganje se odnosi na kupovinu devete emisije obveznica Republike Srpske za izmirenje stare devizne štednje</w:t>
      </w:r>
      <w:r w:rsidR="00E01CA9" w:rsidRPr="00473739">
        <w:rPr>
          <w:rFonts w:ascii="Calibri" w:hAnsi="Calibri" w:cs="Calibri"/>
        </w:rPr>
        <w:t xml:space="preserve"> kako je prikazano u prethodnoj tabeli.</w:t>
      </w:r>
    </w:p>
    <w:p w:rsidR="00FA7A8F" w:rsidRDefault="00FA7A8F" w:rsidP="00D03DA0">
      <w:pPr>
        <w:jc w:val="both"/>
        <w:rPr>
          <w:rFonts w:ascii="Calibri" w:hAnsi="Calibri" w:cs="Calibri"/>
        </w:rPr>
      </w:pPr>
    </w:p>
    <w:p w:rsidR="003A1B0D" w:rsidRPr="004A5A09" w:rsidRDefault="003A1B0D" w:rsidP="003A1B0D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 w:rsidRPr="004A5A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Prodaja hov</w:t>
      </w:r>
    </w:p>
    <w:p w:rsidR="003A1B0D" w:rsidRDefault="003A1B0D" w:rsidP="00D03DA0">
      <w:pPr>
        <w:jc w:val="both"/>
        <w:rPr>
          <w:rFonts w:ascii="Calibri" w:hAnsi="Calibri" w:cs="Calibri"/>
        </w:rPr>
      </w:pPr>
    </w:p>
    <w:tbl>
      <w:tblPr>
        <w:tblW w:w="8966" w:type="dxa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4754"/>
        <w:gridCol w:w="2146"/>
        <w:gridCol w:w="2066"/>
      </w:tblGrid>
      <w:tr w:rsidR="00CA1801" w:rsidRPr="0094178C" w:rsidTr="00623434">
        <w:trPr>
          <w:trHeight w:val="259"/>
        </w:trPr>
        <w:tc>
          <w:tcPr>
            <w:tcW w:w="475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CA1801" w:rsidRPr="0094178C" w:rsidRDefault="00CA1801" w:rsidP="006234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214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CA1801" w:rsidRPr="0094178C" w:rsidRDefault="00CA1801" w:rsidP="006234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proda</w:t>
            </w: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ih HOV</w:t>
            </w:r>
          </w:p>
        </w:tc>
        <w:tc>
          <w:tcPr>
            <w:tcW w:w="206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CA1801" w:rsidRPr="0094178C" w:rsidRDefault="00CA1801" w:rsidP="006234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CA1801" w:rsidRPr="008D5AC7" w:rsidTr="00623434">
        <w:trPr>
          <w:trHeight w:val="259"/>
        </w:trPr>
        <w:tc>
          <w:tcPr>
            <w:tcW w:w="475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</w:tcPr>
          <w:p w:rsidR="00CA1801" w:rsidRPr="0083252F" w:rsidRDefault="00D35773" w:rsidP="00623434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Duvan a.d. Bijeljina</w:t>
            </w:r>
          </w:p>
        </w:tc>
        <w:tc>
          <w:tcPr>
            <w:tcW w:w="214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</w:tcPr>
          <w:p w:rsidR="00CA1801" w:rsidRPr="0083252F" w:rsidRDefault="00D35773" w:rsidP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</w:t>
            </w:r>
            <w:r w:rsidR="00CA180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06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</w:tcPr>
          <w:p w:rsidR="00CA1801" w:rsidRPr="0083252F" w:rsidRDefault="00D35773" w:rsidP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  <w:r w:rsidR="00CA180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  <w:r w:rsidR="00CA1801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="00CA18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CA1801" w:rsidRPr="0094178C" w:rsidTr="00623434">
        <w:trPr>
          <w:trHeight w:val="259"/>
        </w:trPr>
        <w:tc>
          <w:tcPr>
            <w:tcW w:w="4754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CA1801" w:rsidRPr="0094178C" w:rsidRDefault="00CA1801" w:rsidP="0062343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214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CA1801" w:rsidRPr="0094178C" w:rsidRDefault="00CA1801" w:rsidP="0062343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4178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6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CA1801" w:rsidRPr="0094178C" w:rsidRDefault="00D35773" w:rsidP="00623434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57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157.443,60 </w:t>
            </w:r>
            <w:r w:rsidR="00CA1801" w:rsidRPr="0094178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KM</w:t>
            </w:r>
          </w:p>
        </w:tc>
      </w:tr>
    </w:tbl>
    <w:p w:rsidR="009874D7" w:rsidRDefault="009874D7" w:rsidP="00E01CA9">
      <w:pPr>
        <w:jc w:val="both"/>
        <w:rPr>
          <w:rFonts w:ascii="Calibri" w:hAnsi="Calibri" w:cs="Calibri"/>
        </w:rPr>
      </w:pPr>
    </w:p>
    <w:p w:rsidR="003A1B0D" w:rsidRDefault="00FA7A8F" w:rsidP="00D03DA0">
      <w:pPr>
        <w:jc w:val="both"/>
        <w:rPr>
          <w:rFonts w:ascii="Calibri" w:hAnsi="Calibri" w:cs="Calibri"/>
          <w:color w:val="FF0000"/>
        </w:rPr>
      </w:pPr>
      <w:r w:rsidRPr="00FA7A8F">
        <w:rPr>
          <w:rFonts w:ascii="Calibri" w:hAnsi="Calibri" w:cs="Calibri"/>
        </w:rPr>
        <w:t>U izvještajn</w:t>
      </w:r>
      <w:r w:rsidR="00D35773">
        <w:rPr>
          <w:rFonts w:ascii="Calibri" w:hAnsi="Calibri" w:cs="Calibri"/>
        </w:rPr>
        <w:t xml:space="preserve">om periodu prodato je kompletno učešće u emitentu Duvan a.d. Bijeljina i po tom osnovu je uprihodovano </w:t>
      </w:r>
      <w:r w:rsidR="00D35773" w:rsidRPr="00D35773">
        <w:rPr>
          <w:rFonts w:ascii="Calibri" w:hAnsi="Calibri" w:cs="Calibri"/>
        </w:rPr>
        <w:t>157.443,60</w:t>
      </w:r>
      <w:r w:rsidR="00D35773">
        <w:rPr>
          <w:rFonts w:ascii="Calibri" w:hAnsi="Calibri" w:cs="Calibri"/>
        </w:rPr>
        <w:t xml:space="preserve"> KM </w:t>
      </w:r>
      <w:r w:rsidRPr="00FA7A8F">
        <w:rPr>
          <w:rFonts w:ascii="Calibri" w:hAnsi="Calibri" w:cs="Calibri"/>
        </w:rPr>
        <w:t>.</w:t>
      </w:r>
    </w:p>
    <w:p w:rsidR="00473739" w:rsidRDefault="00473739" w:rsidP="00D03DA0">
      <w:pPr>
        <w:jc w:val="both"/>
        <w:rPr>
          <w:rFonts w:ascii="Calibri" w:hAnsi="Calibri" w:cs="Calibri"/>
          <w:color w:val="FF0000"/>
        </w:rPr>
      </w:pPr>
    </w:p>
    <w:p w:rsidR="00473739" w:rsidRDefault="00473739" w:rsidP="00D03DA0">
      <w:pPr>
        <w:jc w:val="both"/>
        <w:rPr>
          <w:rFonts w:ascii="Calibri" w:hAnsi="Calibri" w:cs="Calibri"/>
          <w:color w:val="FF0000"/>
        </w:rPr>
      </w:pPr>
    </w:p>
    <w:p w:rsidR="00D5368A" w:rsidRPr="007F1C60" w:rsidRDefault="00D5368A" w:rsidP="00D5368A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7F1C60">
        <w:rPr>
          <w:rFonts w:ascii="Calibri" w:hAnsi="Calibri" w:cs="Calibri"/>
          <w:b/>
        </w:rPr>
        <w:t>Kretanje vrijednosti neto imovine</w:t>
      </w:r>
    </w:p>
    <w:p w:rsidR="00E524C8" w:rsidRPr="00094D34" w:rsidRDefault="00E524C8" w:rsidP="00D03DA0">
      <w:pPr>
        <w:jc w:val="both"/>
        <w:rPr>
          <w:rFonts w:ascii="Calibri" w:hAnsi="Calibri" w:cs="Calibri"/>
          <w:color w:val="FF0000"/>
        </w:rPr>
      </w:pPr>
    </w:p>
    <w:p w:rsidR="00487003" w:rsidRDefault="00985192" w:rsidP="0098519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Kretanje vrijednosti neto imovine Fonda i vrijednosti udjela u </w:t>
      </w:r>
      <w:r w:rsidR="00BA26AA">
        <w:rPr>
          <w:rFonts w:ascii="Calibri" w:hAnsi="Calibri" w:cs="Calibri"/>
          <w:lang w:val="en-US"/>
        </w:rPr>
        <w:t>izvještajnom periodu</w:t>
      </w:r>
      <w:r>
        <w:rPr>
          <w:rFonts w:ascii="Calibri" w:hAnsi="Calibri" w:cs="Calibri"/>
          <w:lang w:val="en-US"/>
        </w:rPr>
        <w:t>:</w:t>
      </w:r>
    </w:p>
    <w:p w:rsidR="00E3031B" w:rsidRPr="00930DFE" w:rsidRDefault="00E3031B" w:rsidP="000D5F64">
      <w:pPr>
        <w:rPr>
          <w:noProof/>
          <w:lang w:val="en-US"/>
        </w:rPr>
      </w:pPr>
    </w:p>
    <w:tbl>
      <w:tblPr>
        <w:tblW w:w="9041" w:type="dxa"/>
        <w:tblInd w:w="108" w:type="dxa"/>
        <w:tblLook w:val="04A0" w:firstRow="1" w:lastRow="0" w:firstColumn="1" w:lastColumn="0" w:noHBand="0" w:noVBand="1"/>
      </w:tblPr>
      <w:tblGrid>
        <w:gridCol w:w="4127"/>
        <w:gridCol w:w="2733"/>
        <w:gridCol w:w="2181"/>
      </w:tblGrid>
      <w:tr w:rsidR="00D35773" w:rsidTr="00D35773">
        <w:trPr>
          <w:trHeight w:val="481"/>
        </w:trPr>
        <w:tc>
          <w:tcPr>
            <w:tcW w:w="4127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73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Neto vrijednost imovine</w:t>
            </w:r>
          </w:p>
        </w:tc>
        <w:tc>
          <w:tcPr>
            <w:tcW w:w="218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NVI po udjelu</w:t>
            </w:r>
          </w:p>
        </w:tc>
      </w:tr>
      <w:tr w:rsidR="00D35773" w:rsidTr="00D35773">
        <w:trPr>
          <w:trHeight w:val="23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29.887.513,56 KM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5,1357 KM</w:t>
            </w:r>
          </w:p>
        </w:tc>
      </w:tr>
      <w:tr w:rsidR="00D35773" w:rsidTr="00D35773">
        <w:trPr>
          <w:trHeight w:val="23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31.01.2022.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31.508.439,10 KM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5,4178 KM</w:t>
            </w:r>
          </w:p>
        </w:tc>
      </w:tr>
      <w:tr w:rsidR="00D35773" w:rsidTr="00D35773">
        <w:trPr>
          <w:trHeight w:val="23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28.02.2022.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32.897.081,30 KM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5,6666 KM</w:t>
            </w:r>
          </w:p>
        </w:tc>
      </w:tr>
      <w:tr w:rsidR="00D35773" w:rsidTr="00D35773">
        <w:trPr>
          <w:trHeight w:val="23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D357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31.03.2022.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32.473.410,50 KM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5,6092 KM</w:t>
            </w:r>
          </w:p>
        </w:tc>
      </w:tr>
      <w:tr w:rsidR="00D35773" w:rsidTr="00D35773">
        <w:trPr>
          <w:trHeight w:val="23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415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30.04.2022</w:t>
            </w:r>
            <w:r w:rsidR="00D3577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32.801.548,59 KM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6,1500 KM</w:t>
            </w:r>
          </w:p>
        </w:tc>
      </w:tr>
      <w:tr w:rsidR="00D35773" w:rsidTr="00D35773">
        <w:trPr>
          <w:trHeight w:val="23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773" w:rsidRDefault="00415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31.05.2022</w:t>
            </w:r>
            <w:r w:rsidR="00D3577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32.602.949,28 KM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6,1233 KM</w:t>
            </w:r>
          </w:p>
        </w:tc>
      </w:tr>
      <w:tr w:rsidR="00D35773" w:rsidTr="00D35773">
        <w:trPr>
          <w:trHeight w:val="246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vAlign w:val="center"/>
            <w:hideMark/>
          </w:tcPr>
          <w:p w:rsidR="00D35773" w:rsidRDefault="00D35773" w:rsidP="00415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</w:t>
            </w:r>
            <w:r w:rsidR="00415C7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32.194.481,24 KM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D35773" w:rsidRDefault="00D357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6,0598 KM</w:t>
            </w:r>
          </w:p>
        </w:tc>
      </w:tr>
      <w:tr w:rsidR="00D35773" w:rsidTr="00D35773">
        <w:trPr>
          <w:trHeight w:val="246"/>
        </w:trPr>
        <w:tc>
          <w:tcPr>
            <w:tcW w:w="4127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Pr="00047641" w:rsidRDefault="00D3577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476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273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Pr="00047641" w:rsidRDefault="00D3577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476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7,72%</w:t>
            </w:r>
          </w:p>
        </w:tc>
        <w:tc>
          <w:tcPr>
            <w:tcW w:w="218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D35773" w:rsidRPr="00047641" w:rsidRDefault="00D3577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476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17,99%</w:t>
            </w:r>
          </w:p>
        </w:tc>
      </w:tr>
    </w:tbl>
    <w:p w:rsidR="0021406F" w:rsidRDefault="0021406F" w:rsidP="003A1B0D">
      <w:pPr>
        <w:jc w:val="both"/>
        <w:rPr>
          <w:rFonts w:ascii="Calibri" w:hAnsi="Calibri" w:cs="Calibri"/>
          <w:lang w:val="en-US"/>
        </w:rPr>
      </w:pPr>
    </w:p>
    <w:p w:rsidR="0061682F" w:rsidRDefault="00D63785" w:rsidP="003A1B0D">
      <w:pPr>
        <w:jc w:val="both"/>
        <w:rPr>
          <w:rFonts w:ascii="Calibri" w:hAnsi="Calibri" w:cs="Calibri"/>
          <w:lang w:val="en-US"/>
        </w:rPr>
      </w:pPr>
      <w:r w:rsidRPr="00D63785">
        <w:rPr>
          <w:rFonts w:ascii="Calibri" w:hAnsi="Calibri" w:cs="Calibri"/>
          <w:lang w:val="en-US"/>
        </w:rPr>
        <w:t xml:space="preserve">Neto vrijednost imovine Fonda u prvom </w:t>
      </w:r>
      <w:r w:rsidR="00D35773" w:rsidRPr="00D35773">
        <w:rPr>
          <w:rFonts w:ascii="Calibri" w:hAnsi="Calibri" w:cs="Calibri"/>
          <w:lang w:val="en-US"/>
        </w:rPr>
        <w:t>polugodištu</w:t>
      </w:r>
      <w:r w:rsidRPr="00D63785">
        <w:rPr>
          <w:rFonts w:ascii="Calibri" w:hAnsi="Calibri" w:cs="Calibri"/>
          <w:lang w:val="en-US"/>
        </w:rPr>
        <w:t xml:space="preserve"> tekuće godine ostv</w:t>
      </w:r>
      <w:r w:rsidR="00D35773">
        <w:rPr>
          <w:rFonts w:ascii="Calibri" w:hAnsi="Calibri" w:cs="Calibri"/>
          <w:lang w:val="en-US"/>
        </w:rPr>
        <w:t>arila je rast za 7</w:t>
      </w:r>
      <w:proofErr w:type="gramStart"/>
      <w:r w:rsidR="00D35773">
        <w:rPr>
          <w:rFonts w:ascii="Calibri" w:hAnsi="Calibri" w:cs="Calibri"/>
          <w:lang w:val="en-US"/>
        </w:rPr>
        <w:t>,72</w:t>
      </w:r>
      <w:proofErr w:type="gramEnd"/>
      <w:r w:rsidRPr="00D63785">
        <w:rPr>
          <w:rFonts w:ascii="Calibri" w:hAnsi="Calibri" w:cs="Calibri"/>
          <w:lang w:val="en-US"/>
        </w:rPr>
        <w:t>%.</w:t>
      </w:r>
      <w:r w:rsidR="00D35773">
        <w:rPr>
          <w:rFonts w:ascii="Calibri" w:hAnsi="Calibri" w:cs="Calibri"/>
          <w:lang w:val="en-US"/>
        </w:rPr>
        <w:t xml:space="preserve"> </w:t>
      </w:r>
      <w:r w:rsidR="000413EB">
        <w:rPr>
          <w:rFonts w:ascii="Calibri" w:hAnsi="Calibri" w:cs="Calibri"/>
          <w:lang w:val="en-US"/>
        </w:rPr>
        <w:t xml:space="preserve">Na </w:t>
      </w:r>
      <w:r w:rsidR="000413EB">
        <w:rPr>
          <w:rFonts w:ascii="Calibri" w:hAnsi="Calibri" w:cs="Calibri"/>
          <w:lang w:val="sr-Latn-BA"/>
        </w:rPr>
        <w:t xml:space="preserve">ovako značajan rast je najviše uticao skok cijena akcija Telekoma srpske </w:t>
      </w:r>
      <w:proofErr w:type="gramStart"/>
      <w:r w:rsidR="000413EB">
        <w:rPr>
          <w:rFonts w:ascii="Calibri" w:hAnsi="Calibri" w:cs="Calibri"/>
          <w:lang w:val="sr-Latn-BA"/>
        </w:rPr>
        <w:t>te</w:t>
      </w:r>
      <w:proofErr w:type="gramEnd"/>
      <w:r w:rsidR="000413EB">
        <w:rPr>
          <w:rFonts w:ascii="Calibri" w:hAnsi="Calibri" w:cs="Calibri"/>
          <w:lang w:val="sr-Latn-BA"/>
        </w:rPr>
        <w:t xml:space="preserve"> akcija iz sistema elektorprivrede Republike Srpske</w:t>
      </w:r>
      <w:r w:rsidR="00D35773">
        <w:rPr>
          <w:rFonts w:ascii="Calibri" w:hAnsi="Calibri" w:cs="Calibri"/>
          <w:lang w:val="sr-Latn-BA"/>
        </w:rPr>
        <w:t xml:space="preserve"> u prvom kvartalu</w:t>
      </w:r>
      <w:r w:rsidR="000413EB">
        <w:rPr>
          <w:rFonts w:ascii="Calibri" w:hAnsi="Calibri" w:cs="Calibri"/>
          <w:lang w:val="sr-Latn-BA"/>
        </w:rPr>
        <w:t xml:space="preserve">. </w:t>
      </w:r>
      <w:r w:rsidRPr="00D63785">
        <w:rPr>
          <w:rFonts w:ascii="Calibri" w:hAnsi="Calibri" w:cs="Calibri"/>
          <w:lang w:val="en-US"/>
        </w:rPr>
        <w:t>U izvještajnom periodu ostvaren je rast neto vrijednosti imovine po udjelu, koja je u odnosu</w:t>
      </w:r>
      <w:r w:rsidR="00D35773">
        <w:rPr>
          <w:rFonts w:ascii="Calibri" w:hAnsi="Calibri" w:cs="Calibri"/>
          <w:lang w:val="en-US"/>
        </w:rPr>
        <w:t xml:space="preserve"> </w:t>
      </w:r>
      <w:proofErr w:type="gramStart"/>
      <w:r w:rsidR="00D35773">
        <w:rPr>
          <w:rFonts w:ascii="Calibri" w:hAnsi="Calibri" w:cs="Calibri"/>
          <w:lang w:val="en-US"/>
        </w:rPr>
        <w:t>na</w:t>
      </w:r>
      <w:proofErr w:type="gramEnd"/>
      <w:r w:rsidR="00D35773">
        <w:rPr>
          <w:rFonts w:ascii="Calibri" w:hAnsi="Calibri" w:cs="Calibri"/>
          <w:lang w:val="en-US"/>
        </w:rPr>
        <w:t xml:space="preserve"> 31.12.2021. </w:t>
      </w:r>
      <w:proofErr w:type="gramStart"/>
      <w:r w:rsidR="00D35773">
        <w:rPr>
          <w:rFonts w:ascii="Calibri" w:hAnsi="Calibri" w:cs="Calibri"/>
          <w:lang w:val="en-US"/>
        </w:rPr>
        <w:t>godine</w:t>
      </w:r>
      <w:proofErr w:type="gramEnd"/>
      <w:r w:rsidR="00D35773">
        <w:rPr>
          <w:rFonts w:ascii="Calibri" w:hAnsi="Calibri" w:cs="Calibri"/>
          <w:lang w:val="en-US"/>
        </w:rPr>
        <w:t xml:space="preserve"> veća za 17</w:t>
      </w:r>
      <w:r w:rsidR="000413EB">
        <w:rPr>
          <w:rFonts w:ascii="Calibri" w:hAnsi="Calibri" w:cs="Calibri"/>
          <w:lang w:val="en-US"/>
        </w:rPr>
        <w:t>,</w:t>
      </w:r>
      <w:r w:rsidR="00D35773">
        <w:rPr>
          <w:rFonts w:ascii="Calibri" w:hAnsi="Calibri" w:cs="Calibri"/>
          <w:lang w:val="en-US"/>
        </w:rPr>
        <w:t>99</w:t>
      </w:r>
      <w:r w:rsidRPr="00D63785">
        <w:rPr>
          <w:rFonts w:ascii="Calibri" w:hAnsi="Calibri" w:cs="Calibri"/>
          <w:lang w:val="en-US"/>
        </w:rPr>
        <w:t xml:space="preserve">%. </w:t>
      </w:r>
      <w:proofErr w:type="gramStart"/>
      <w:r w:rsidRPr="00D63785">
        <w:rPr>
          <w:rFonts w:ascii="Calibri" w:hAnsi="Calibri" w:cs="Calibri"/>
          <w:lang w:val="en-US"/>
        </w:rPr>
        <w:t>Razlika između ova dva podatka je zbog isplate udjela vlasnicima u posmatranom periodu.</w:t>
      </w:r>
      <w:proofErr w:type="gramEnd"/>
    </w:p>
    <w:p w:rsidR="00B90373" w:rsidRDefault="00B90373" w:rsidP="003A1B0D">
      <w:pPr>
        <w:jc w:val="both"/>
        <w:rPr>
          <w:rFonts w:ascii="Calibri" w:hAnsi="Calibri" w:cs="Calibri"/>
          <w:lang w:val="en-US"/>
        </w:rPr>
      </w:pPr>
    </w:p>
    <w:p w:rsidR="00827B53" w:rsidRDefault="00827B53" w:rsidP="003A1B0D">
      <w:pPr>
        <w:jc w:val="both"/>
        <w:rPr>
          <w:rFonts w:ascii="Calibri" w:hAnsi="Calibri" w:cs="Calibri"/>
          <w:lang w:val="en-US"/>
        </w:rPr>
      </w:pPr>
    </w:p>
    <w:p w:rsidR="004B52D9" w:rsidRPr="003872E3" w:rsidRDefault="00FB5BAE" w:rsidP="0081129B">
      <w:pPr>
        <w:numPr>
          <w:ilvl w:val="0"/>
          <w:numId w:val="7"/>
        </w:numPr>
        <w:ind w:right="-1299"/>
        <w:rPr>
          <w:rFonts w:ascii="Calibri" w:hAnsi="Calibri" w:cs="Calibri"/>
          <w:b/>
          <w:lang w:val="en-US"/>
        </w:rPr>
      </w:pPr>
      <w:r w:rsidRPr="003872E3">
        <w:rPr>
          <w:rFonts w:ascii="Calibri" w:hAnsi="Calibri" w:cs="Calibri"/>
          <w:b/>
          <w:lang w:val="en-US"/>
        </w:rPr>
        <w:lastRenderedPageBreak/>
        <w:t>Portfelj fond</w:t>
      </w:r>
      <w:r w:rsidR="004B52D9" w:rsidRPr="003872E3">
        <w:rPr>
          <w:rFonts w:ascii="Calibri" w:hAnsi="Calibri" w:cs="Calibri"/>
          <w:b/>
          <w:lang w:val="en-US"/>
        </w:rPr>
        <w:t>a</w:t>
      </w:r>
    </w:p>
    <w:p w:rsidR="00B36877" w:rsidRDefault="00B36877">
      <w:pPr>
        <w:rPr>
          <w:rFonts w:ascii="Calibri" w:hAnsi="Calibri" w:cs="Calibri"/>
          <w:b/>
          <w:lang w:val="en-US"/>
        </w:rPr>
      </w:pPr>
    </w:p>
    <w:p w:rsidR="00831961" w:rsidRDefault="00E149D5">
      <w:pPr>
        <w:rPr>
          <w:rFonts w:ascii="Calibri" w:hAnsi="Calibri" w:cs="Calibri"/>
        </w:rPr>
      </w:pPr>
      <w:r>
        <w:rPr>
          <w:rFonts w:ascii="Calibri" w:hAnsi="Calibri" w:cs="Calibri"/>
        </w:rPr>
        <w:t>U narednoj tabeli prikazana je s</w:t>
      </w:r>
      <w:r w:rsidR="00930DFE">
        <w:rPr>
          <w:rFonts w:ascii="Calibri" w:hAnsi="Calibri" w:cs="Calibri"/>
        </w:rPr>
        <w:t xml:space="preserve">truktura </w:t>
      </w:r>
      <w:r>
        <w:rPr>
          <w:rFonts w:ascii="Calibri" w:hAnsi="Calibri" w:cs="Calibri"/>
        </w:rPr>
        <w:t xml:space="preserve">portfelja </w:t>
      </w:r>
      <w:r w:rsidR="00930DFE">
        <w:rPr>
          <w:rFonts w:ascii="Calibri" w:hAnsi="Calibri" w:cs="Calibri"/>
        </w:rPr>
        <w:t>po vrsti imovine:</w:t>
      </w:r>
    </w:p>
    <w:p w:rsidR="00930DFE" w:rsidRPr="00686446" w:rsidRDefault="00930DFE">
      <w:pPr>
        <w:rPr>
          <w:rFonts w:ascii="Calibri" w:hAnsi="Calibri" w:cs="Calibri"/>
        </w:rPr>
      </w:pPr>
    </w:p>
    <w:tbl>
      <w:tblPr>
        <w:tblW w:w="9116" w:type="dxa"/>
        <w:tblInd w:w="108" w:type="dxa"/>
        <w:tblLook w:val="04A0" w:firstRow="1" w:lastRow="0" w:firstColumn="1" w:lastColumn="0" w:noHBand="0" w:noVBand="1"/>
      </w:tblPr>
      <w:tblGrid>
        <w:gridCol w:w="4161"/>
        <w:gridCol w:w="2643"/>
        <w:gridCol w:w="2312"/>
      </w:tblGrid>
      <w:tr w:rsidR="003664CD" w:rsidTr="003664CD">
        <w:trPr>
          <w:trHeight w:val="862"/>
        </w:trPr>
        <w:tc>
          <w:tcPr>
            <w:tcW w:w="416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3664CD" w:rsidRDefault="003664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Vrsta ulaganja</w:t>
            </w:r>
          </w:p>
        </w:tc>
        <w:tc>
          <w:tcPr>
            <w:tcW w:w="2643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3664CD" w:rsidRDefault="00CA18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Ukupna vrijednost na dan 30.06</w:t>
            </w:r>
            <w:r w:rsidR="003664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.2022.</w:t>
            </w:r>
          </w:p>
        </w:tc>
        <w:tc>
          <w:tcPr>
            <w:tcW w:w="231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vAlign w:val="center"/>
            <w:hideMark/>
          </w:tcPr>
          <w:p w:rsidR="003664CD" w:rsidRDefault="003664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Učešće u neto vrijednosti imovine fonda (%)</w:t>
            </w:r>
          </w:p>
        </w:tc>
      </w:tr>
      <w:tr w:rsidR="003664CD" w:rsidTr="003664CD">
        <w:trPr>
          <w:trHeight w:val="197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3664CD" w:rsidRDefault="00366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/>
              </w:rPr>
              <w:t>Gotovina i gotovinski ekvivalenti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3664CD" w:rsidRPr="003664CD" w:rsidRDefault="003664CD" w:rsidP="003664CD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64CD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 xml:space="preserve">   </w:t>
            </w:r>
            <w:r w:rsidR="00CA1801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1.696.930,27</w:t>
            </w:r>
            <w:r w:rsidRPr="003664CD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  <w:hideMark/>
          </w:tcPr>
          <w:p w:rsidR="003664CD" w:rsidRDefault="00CA1801" w:rsidP="00CA18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>5</w:t>
            </w:r>
            <w:r w:rsidR="003664CD"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>27</w:t>
            </w:r>
            <w:r w:rsidR="003664CD"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>%</w:t>
            </w:r>
          </w:p>
        </w:tc>
      </w:tr>
      <w:tr w:rsidR="003664CD" w:rsidTr="003664CD">
        <w:trPr>
          <w:trHeight w:val="2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CD" w:rsidRDefault="00366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/>
              </w:rPr>
              <w:t xml:space="preserve">Depoziti i plasmani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>2.958.553,56</w:t>
            </w:r>
            <w:r w:rsidR="003664CD"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CD" w:rsidRDefault="00CA18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>9,1</w:t>
            </w:r>
            <w:r w:rsidR="003664CD">
              <w:rPr>
                <w:rFonts w:ascii="Calibri" w:hAnsi="Calibri"/>
                <w:color w:val="000000"/>
                <w:sz w:val="22"/>
                <w:szCs w:val="22"/>
                <w:lang w:val="sr-Latn-RS"/>
              </w:rPr>
              <w:t>9%</w:t>
            </w:r>
          </w:p>
        </w:tc>
      </w:tr>
      <w:tr w:rsidR="003664CD" w:rsidTr="003664CD">
        <w:trPr>
          <w:trHeight w:val="2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3664CD" w:rsidRDefault="00366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/>
              </w:rPr>
              <w:t xml:space="preserve">Akcije 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24.270.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39,36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75,39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%</w:t>
            </w:r>
          </w:p>
        </w:tc>
      </w:tr>
      <w:tr w:rsidR="003664CD" w:rsidTr="003664CD">
        <w:trPr>
          <w:trHeight w:val="2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CD" w:rsidRDefault="00366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/>
              </w:rPr>
              <w:t>Obveznice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3.223.857,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1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10,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1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%</w:t>
            </w:r>
          </w:p>
        </w:tc>
      </w:tr>
      <w:tr w:rsidR="003664CD" w:rsidTr="003664CD">
        <w:trPr>
          <w:trHeight w:val="2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3664CD" w:rsidRDefault="00366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/>
              </w:rPr>
              <w:t>Potraživanja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305.659,41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0,95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%</w:t>
            </w:r>
          </w:p>
        </w:tc>
      </w:tr>
      <w:tr w:rsidR="003664CD" w:rsidTr="003664CD">
        <w:trPr>
          <w:trHeight w:val="2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CD" w:rsidRDefault="00366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/>
              </w:rPr>
              <w:t>Obaveze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CD" w:rsidRPr="003664CD" w:rsidRDefault="00CA1801" w:rsidP="003664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-261</w:t>
            </w:r>
            <w:r w:rsidR="003664CD" w:rsidRPr="003664CD">
              <w:rPr>
                <w:rFonts w:ascii="Calibri" w:hAnsi="Calibri" w:cs="Calibri"/>
                <w:sz w:val="22"/>
                <w:szCs w:val="22"/>
                <w:lang w:val="sr-Latn-RS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458,</w:t>
            </w:r>
            <w:r w:rsidR="003664CD" w:rsidRPr="003664CD">
              <w:rPr>
                <w:rFonts w:ascii="Calibri" w:hAnsi="Calibri" w:cs="Calibri"/>
                <w:sz w:val="22"/>
                <w:szCs w:val="22"/>
                <w:lang w:val="sr-Latn-RS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8</w:t>
            </w:r>
            <w:r w:rsidR="003664CD" w:rsidRPr="003664CD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CD" w:rsidRDefault="00CA1801" w:rsidP="00CA18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-0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81</w:t>
            </w:r>
            <w:r w:rsidR="003664CD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%</w:t>
            </w:r>
          </w:p>
        </w:tc>
      </w:tr>
      <w:tr w:rsidR="003664CD" w:rsidTr="003664CD">
        <w:trPr>
          <w:trHeight w:val="223"/>
        </w:trPr>
        <w:tc>
          <w:tcPr>
            <w:tcW w:w="4161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F2DCDB"/>
            <w:vAlign w:val="center"/>
            <w:hideMark/>
          </w:tcPr>
          <w:p w:rsidR="003664CD" w:rsidRDefault="003664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Ukupno NAV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F2DCDB"/>
            <w:vAlign w:val="center"/>
            <w:hideMark/>
          </w:tcPr>
          <w:p w:rsidR="003664CD" w:rsidRDefault="00CA1801" w:rsidP="003664C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32.194.481,24</w:t>
            </w:r>
            <w:r w:rsidR="003664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000000" w:fill="F2DCDB"/>
            <w:noWrap/>
            <w:vAlign w:val="center"/>
            <w:hideMark/>
          </w:tcPr>
          <w:p w:rsidR="003664CD" w:rsidRDefault="003664C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100,00%</w:t>
            </w:r>
          </w:p>
        </w:tc>
      </w:tr>
    </w:tbl>
    <w:p w:rsidR="00D75AAE" w:rsidRDefault="00D75AAE" w:rsidP="00930DFE">
      <w:pPr>
        <w:jc w:val="both"/>
        <w:rPr>
          <w:rFonts w:ascii="Calibri" w:hAnsi="Calibri" w:cs="Calibri"/>
        </w:rPr>
      </w:pPr>
    </w:p>
    <w:p w:rsidR="006A35A7" w:rsidRDefault="00930DFE" w:rsidP="00930DFE">
      <w:pPr>
        <w:jc w:val="both"/>
        <w:rPr>
          <w:rFonts w:ascii="Calibri" w:hAnsi="Calibri" w:cs="Calibri"/>
        </w:rPr>
      </w:pPr>
      <w:r w:rsidRPr="00930DFE">
        <w:rPr>
          <w:rFonts w:ascii="Calibri" w:hAnsi="Calibri" w:cs="Calibri"/>
        </w:rPr>
        <w:t xml:space="preserve">U strukturi </w:t>
      </w:r>
      <w:r w:rsidR="00F5123E">
        <w:rPr>
          <w:rFonts w:ascii="Calibri" w:hAnsi="Calibri" w:cs="Calibri"/>
        </w:rPr>
        <w:t xml:space="preserve">neto </w:t>
      </w:r>
      <w:r w:rsidRPr="00930DFE">
        <w:rPr>
          <w:rFonts w:ascii="Calibri" w:hAnsi="Calibri" w:cs="Calibri"/>
        </w:rPr>
        <w:t xml:space="preserve">imovine Fonda </w:t>
      </w:r>
      <w:r w:rsidR="00EB5D87">
        <w:rPr>
          <w:rFonts w:ascii="Calibri" w:hAnsi="Calibri" w:cs="Calibri"/>
        </w:rPr>
        <w:t>na dan 3</w:t>
      </w:r>
      <w:r w:rsidR="00623434">
        <w:rPr>
          <w:rFonts w:ascii="Calibri" w:hAnsi="Calibri" w:cs="Calibri"/>
        </w:rPr>
        <w:t>0</w:t>
      </w:r>
      <w:r w:rsidR="00EB5D87">
        <w:rPr>
          <w:rFonts w:ascii="Calibri" w:hAnsi="Calibri" w:cs="Calibri"/>
        </w:rPr>
        <w:t>.</w:t>
      </w:r>
      <w:r w:rsidR="00623434">
        <w:rPr>
          <w:rFonts w:ascii="Calibri" w:hAnsi="Calibri" w:cs="Calibri"/>
        </w:rPr>
        <w:t>06</w:t>
      </w:r>
      <w:r w:rsidR="003664CD">
        <w:rPr>
          <w:rFonts w:ascii="Calibri" w:hAnsi="Calibri" w:cs="Calibri"/>
        </w:rPr>
        <w:t>.2022</w:t>
      </w:r>
      <w:r w:rsidR="00EB5D87">
        <w:rPr>
          <w:rFonts w:ascii="Calibri" w:hAnsi="Calibri" w:cs="Calibri"/>
        </w:rPr>
        <w:t xml:space="preserve">.godine </w:t>
      </w:r>
      <w:r w:rsidRPr="00930DFE">
        <w:rPr>
          <w:rFonts w:ascii="Calibri" w:hAnsi="Calibri" w:cs="Calibri"/>
        </w:rPr>
        <w:t xml:space="preserve">najveće učešće imaju akcije sa </w:t>
      </w:r>
      <w:r w:rsidR="00623434">
        <w:rPr>
          <w:rFonts w:ascii="Calibri" w:hAnsi="Calibri" w:cs="Calibri"/>
        </w:rPr>
        <w:t>75</w:t>
      </w:r>
      <w:r w:rsidR="002D3102">
        <w:rPr>
          <w:rFonts w:ascii="Calibri" w:hAnsi="Calibri" w:cs="Calibri"/>
        </w:rPr>
        <w:t>,</w:t>
      </w:r>
      <w:r w:rsidR="00623434">
        <w:rPr>
          <w:rFonts w:ascii="Calibri" w:hAnsi="Calibri" w:cs="Calibri"/>
        </w:rPr>
        <w:t>39</w:t>
      </w:r>
      <w:r w:rsidRPr="00930DFE">
        <w:rPr>
          <w:rFonts w:ascii="Calibri" w:hAnsi="Calibri" w:cs="Calibri"/>
        </w:rPr>
        <w:t>%, a slijede</w:t>
      </w:r>
      <w:r w:rsidR="00623434" w:rsidRPr="00623434">
        <w:rPr>
          <w:rFonts w:ascii="Calibri" w:hAnsi="Calibri" w:cs="Calibri"/>
        </w:rPr>
        <w:t xml:space="preserve"> </w:t>
      </w:r>
      <w:r w:rsidR="00623434">
        <w:rPr>
          <w:rFonts w:ascii="Calibri" w:hAnsi="Calibri" w:cs="Calibri"/>
        </w:rPr>
        <w:t>obveznice</w:t>
      </w:r>
      <w:r w:rsidR="004F5A2D" w:rsidRPr="004F5A2D">
        <w:t xml:space="preserve"> </w:t>
      </w:r>
      <w:r w:rsidR="00623434">
        <w:rPr>
          <w:rFonts w:ascii="Calibri" w:hAnsi="Calibri" w:cs="Calibri"/>
        </w:rPr>
        <w:t>sa 10</w:t>
      </w:r>
      <w:r w:rsidR="00A95532">
        <w:rPr>
          <w:rFonts w:ascii="Calibri" w:hAnsi="Calibri" w:cs="Calibri"/>
        </w:rPr>
        <w:t>,</w:t>
      </w:r>
      <w:r w:rsidR="00623434">
        <w:rPr>
          <w:rFonts w:ascii="Calibri" w:hAnsi="Calibri" w:cs="Calibri"/>
        </w:rPr>
        <w:t>01</w:t>
      </w:r>
      <w:r w:rsidR="00E01CA9">
        <w:rPr>
          <w:rFonts w:ascii="Calibri" w:hAnsi="Calibri" w:cs="Calibri"/>
        </w:rPr>
        <w:t xml:space="preserve"> % te </w:t>
      </w:r>
      <w:r w:rsidR="00623434" w:rsidRPr="004F5A2D">
        <w:rPr>
          <w:rFonts w:ascii="Calibri" w:hAnsi="Calibri" w:cs="Calibri"/>
        </w:rPr>
        <w:t>depoziti</w:t>
      </w:r>
      <w:r w:rsidR="00623434">
        <w:rPr>
          <w:rFonts w:ascii="Calibri" w:hAnsi="Calibri" w:cs="Calibri"/>
        </w:rPr>
        <w:t xml:space="preserve"> </w:t>
      </w:r>
      <w:r w:rsidRPr="00930DFE">
        <w:rPr>
          <w:rFonts w:ascii="Calibri" w:hAnsi="Calibri" w:cs="Calibri"/>
        </w:rPr>
        <w:t xml:space="preserve">sa učešćem od </w:t>
      </w:r>
      <w:r w:rsidR="00623434">
        <w:rPr>
          <w:rFonts w:ascii="Calibri" w:hAnsi="Calibri" w:cs="Calibri"/>
        </w:rPr>
        <w:t>9</w:t>
      </w:r>
      <w:r w:rsidR="002D3102">
        <w:rPr>
          <w:rFonts w:ascii="Calibri" w:hAnsi="Calibri" w:cs="Calibri"/>
        </w:rPr>
        <w:t>,</w:t>
      </w:r>
      <w:r w:rsidR="00623434">
        <w:rPr>
          <w:rFonts w:ascii="Calibri" w:hAnsi="Calibri" w:cs="Calibri"/>
        </w:rPr>
        <w:t>19</w:t>
      </w:r>
      <w:r w:rsidRPr="00930DFE">
        <w:rPr>
          <w:rFonts w:ascii="Calibri" w:hAnsi="Calibri" w:cs="Calibri"/>
        </w:rPr>
        <w:t xml:space="preserve">% i </w:t>
      </w:r>
      <w:r w:rsidR="00A95532">
        <w:rPr>
          <w:rFonts w:ascii="Calibri" w:hAnsi="Calibri" w:cs="Calibri"/>
        </w:rPr>
        <w:t>gotovina</w:t>
      </w:r>
      <w:r w:rsidR="00A95532" w:rsidRPr="00930DFE">
        <w:rPr>
          <w:rFonts w:ascii="Calibri" w:hAnsi="Calibri" w:cs="Calibri"/>
        </w:rPr>
        <w:t xml:space="preserve"> </w:t>
      </w:r>
      <w:r w:rsidRPr="00930DFE">
        <w:rPr>
          <w:rFonts w:ascii="Calibri" w:hAnsi="Calibri" w:cs="Calibri"/>
        </w:rPr>
        <w:t xml:space="preserve">sa učešćem od </w:t>
      </w:r>
      <w:r w:rsidR="00623434">
        <w:rPr>
          <w:rFonts w:ascii="Calibri" w:hAnsi="Calibri" w:cs="Calibri"/>
        </w:rPr>
        <w:t>5</w:t>
      </w:r>
      <w:r w:rsidR="002D3102">
        <w:rPr>
          <w:rFonts w:ascii="Calibri" w:hAnsi="Calibri" w:cs="Calibri"/>
        </w:rPr>
        <w:t>,</w:t>
      </w:r>
      <w:r w:rsidR="00623434">
        <w:rPr>
          <w:rFonts w:ascii="Calibri" w:hAnsi="Calibri" w:cs="Calibri"/>
        </w:rPr>
        <w:t>27</w:t>
      </w:r>
      <w:r w:rsidRPr="00930DFE">
        <w:rPr>
          <w:rFonts w:ascii="Calibri" w:hAnsi="Calibri" w:cs="Calibri"/>
        </w:rPr>
        <w:t>%.</w:t>
      </w:r>
      <w:r w:rsidR="002D3102">
        <w:rPr>
          <w:rFonts w:ascii="Calibri" w:hAnsi="Calibri" w:cs="Calibri"/>
        </w:rPr>
        <w:t xml:space="preserve"> </w:t>
      </w:r>
      <w:r w:rsidR="00623434">
        <w:rPr>
          <w:rFonts w:ascii="Calibri" w:hAnsi="Calibri" w:cs="Calibri"/>
        </w:rPr>
        <w:t>Iz prethodne tabele vidimo da</w:t>
      </w:r>
      <w:r w:rsidR="003872E3" w:rsidRPr="003872E3">
        <w:rPr>
          <w:rFonts w:ascii="Calibri" w:hAnsi="Calibri" w:cs="Calibri"/>
        </w:rPr>
        <w:t xml:space="preserve"> struktura ulaganja </w:t>
      </w:r>
      <w:r w:rsidR="00623434">
        <w:rPr>
          <w:rFonts w:ascii="Calibri" w:hAnsi="Calibri" w:cs="Calibri"/>
        </w:rPr>
        <w:t xml:space="preserve">nije </w:t>
      </w:r>
      <w:r w:rsidR="003872E3" w:rsidRPr="003872E3">
        <w:rPr>
          <w:rFonts w:ascii="Calibri" w:hAnsi="Calibri" w:cs="Calibri"/>
        </w:rPr>
        <w:t>u okvirima granica utvrđenih Prospektom Fonda.</w:t>
      </w:r>
      <w:r w:rsidR="00623434">
        <w:rPr>
          <w:rFonts w:ascii="Calibri" w:hAnsi="Calibri" w:cs="Calibri"/>
        </w:rPr>
        <w:t xml:space="preserve"> Do prekoračenja ulaganja u akcije iznad predviđenog limita od 69,99% je došlo uslijed velikog odliva sredstava iz fonda radi isplate udjela vlasnicima sa jedne strane a sa druge strane uslijed rasta vrijednosti akcija na berzi nekoliko emitenata iz portfelja fonda.</w:t>
      </w:r>
    </w:p>
    <w:p w:rsidR="0083252F" w:rsidRDefault="0083252F" w:rsidP="00930DFE">
      <w:pPr>
        <w:jc w:val="both"/>
        <w:rPr>
          <w:rFonts w:ascii="Calibri" w:hAnsi="Calibri" w:cs="Calibri"/>
        </w:rPr>
      </w:pPr>
    </w:p>
    <w:p w:rsidR="00E149D5" w:rsidRPr="00841D63" w:rsidRDefault="00E149D5" w:rsidP="00930DFE">
      <w:pPr>
        <w:jc w:val="both"/>
        <w:rPr>
          <w:rFonts w:ascii="Calibri" w:hAnsi="Calibri" w:cs="Calibri"/>
        </w:rPr>
      </w:pPr>
      <w:r w:rsidRPr="00841D63">
        <w:rPr>
          <w:rFonts w:ascii="Calibri" w:hAnsi="Calibri" w:cs="Calibri"/>
        </w:rPr>
        <w:t>U narednoj tabeli prikazano je deset najvećih pojedinačnih ulaganja Fonda u hartije od vrijednosti:</w:t>
      </w:r>
    </w:p>
    <w:p w:rsidR="00841D63" w:rsidRDefault="00841D63" w:rsidP="00930DFE">
      <w:pPr>
        <w:jc w:val="both"/>
        <w:rPr>
          <w:rFonts w:ascii="Calibri" w:hAnsi="Calibri" w:cs="Calibri"/>
        </w:rPr>
      </w:pPr>
    </w:p>
    <w:tbl>
      <w:tblPr>
        <w:tblW w:w="9035" w:type="dxa"/>
        <w:tblInd w:w="108" w:type="dxa"/>
        <w:tblLook w:val="04A0" w:firstRow="1" w:lastRow="0" w:firstColumn="1" w:lastColumn="0" w:noHBand="0" w:noVBand="1"/>
      </w:tblPr>
      <w:tblGrid>
        <w:gridCol w:w="4420"/>
        <w:gridCol w:w="1328"/>
        <w:gridCol w:w="1850"/>
        <w:gridCol w:w="1437"/>
      </w:tblGrid>
      <w:tr w:rsidR="00827B53" w:rsidTr="00827B53">
        <w:trPr>
          <w:trHeight w:val="182"/>
        </w:trPr>
        <w:tc>
          <w:tcPr>
            <w:tcW w:w="4420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Emitent</w:t>
            </w:r>
          </w:p>
        </w:tc>
        <w:tc>
          <w:tcPr>
            <w:tcW w:w="1328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hov</w:t>
            </w:r>
          </w:p>
        </w:tc>
        <w:tc>
          <w:tcPr>
            <w:tcW w:w="1850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Iznos</w:t>
            </w:r>
          </w:p>
        </w:tc>
        <w:tc>
          <w:tcPr>
            <w:tcW w:w="1437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Učešće u NVI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Hidroelektrane na Drini a.d. Višegrad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15.130.467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4.496.774,79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13,97%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Telekom Srpske a.d. Banja Luka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2.913.917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4.424.200,18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13,74%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Hidroelektrane na Trebišnjici a.d. Trebinje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10.262.295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3.196.704,89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Rudnici željezne rude Ljubija a.d. Prijedor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3.256.276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2.757.740,14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8,57%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Sarajevo gas a.d. Istočno Sarajevo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3.278.515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2.011.368,95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6,25%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Republika Srpska RSBD-O20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972.407,72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3,02%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Hidroelektrane na Vrbasu a.d. Mrkonjić Grad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2.403.881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906.263,14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2,81%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REPUBLIKA SRPSKA-RSDS-O-I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950.926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875.028,18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2,72%</w:t>
            </w:r>
          </w:p>
        </w:tc>
      </w:tr>
      <w:tr w:rsidR="00827B53" w:rsidTr="00827B53">
        <w:trPr>
          <w:trHeight w:val="17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Crnogorski telekom a.d. Podgorica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270.066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670.818,04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2,08%</w:t>
            </w:r>
          </w:p>
        </w:tc>
      </w:tr>
      <w:tr w:rsidR="00827B53" w:rsidTr="00827B53">
        <w:trPr>
          <w:trHeight w:val="18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IBM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2.220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582.902,70 KM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53" w:rsidRDefault="00827B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1,81%</w:t>
            </w:r>
          </w:p>
        </w:tc>
      </w:tr>
      <w:tr w:rsidR="00827B53" w:rsidRPr="00047641" w:rsidTr="00827B53">
        <w:trPr>
          <w:trHeight w:val="191"/>
        </w:trPr>
        <w:tc>
          <w:tcPr>
            <w:tcW w:w="4420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Pr="00047641" w:rsidRDefault="00827B53">
            <w:pPr>
              <w:rPr>
                <w:rFonts w:ascii="Calibri" w:hAnsi="Calibri" w:cs="Calibri"/>
                <w:b/>
                <w:color w:val="000000"/>
              </w:rPr>
            </w:pPr>
            <w:r w:rsidRPr="00047641">
              <w:rPr>
                <w:rFonts w:ascii="Calibri" w:hAnsi="Calibri" w:cs="Calibri"/>
                <w:b/>
                <w:color w:val="000000"/>
              </w:rPr>
              <w:t>UKUPNO:</w:t>
            </w:r>
          </w:p>
        </w:tc>
        <w:tc>
          <w:tcPr>
            <w:tcW w:w="1328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Pr="00047641" w:rsidRDefault="00827B5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47641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850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Pr="00047641" w:rsidRDefault="00827B53" w:rsidP="00047641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4764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20.894.208,74 KM</w:t>
            </w:r>
          </w:p>
        </w:tc>
        <w:tc>
          <w:tcPr>
            <w:tcW w:w="1437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  <w:shd w:val="clear" w:color="000000" w:fill="EFD3D2"/>
            <w:noWrap/>
            <w:vAlign w:val="center"/>
            <w:hideMark/>
          </w:tcPr>
          <w:p w:rsidR="00827B53" w:rsidRPr="00047641" w:rsidRDefault="00827B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476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64,90%</w:t>
            </w:r>
          </w:p>
        </w:tc>
      </w:tr>
    </w:tbl>
    <w:p w:rsidR="00E149D5" w:rsidRDefault="00E149D5" w:rsidP="00930DFE">
      <w:pPr>
        <w:jc w:val="both"/>
        <w:rPr>
          <w:rFonts w:ascii="Calibri" w:hAnsi="Calibri" w:cs="Calibri"/>
        </w:rPr>
      </w:pPr>
    </w:p>
    <w:p w:rsidR="00564F09" w:rsidRDefault="00F1521A" w:rsidP="00CA7334">
      <w:pPr>
        <w:jc w:val="both"/>
        <w:rPr>
          <w:rFonts w:ascii="Calibri" w:hAnsi="Calibri" w:cs="Calibri"/>
          <w:lang w:val="en-US"/>
        </w:rPr>
      </w:pPr>
      <w:r w:rsidRPr="00B10C4D">
        <w:rPr>
          <w:rFonts w:ascii="Calibri" w:hAnsi="Calibri" w:cs="Calibri"/>
          <w:lang w:val="en-US"/>
        </w:rPr>
        <w:t>Iz gore navedene tabele vidimo da je najveća izloženost portelja Fonda prema</w:t>
      </w:r>
      <w:r>
        <w:rPr>
          <w:rFonts w:ascii="Calibri" w:hAnsi="Calibri" w:cs="Calibri"/>
          <w:lang w:val="en-US"/>
        </w:rPr>
        <w:t xml:space="preserve"> </w:t>
      </w:r>
      <w:r w:rsidR="00E01CA9">
        <w:rPr>
          <w:rFonts w:ascii="Calibri" w:hAnsi="Calibri" w:cs="Calibri"/>
          <w:lang w:val="en-US"/>
        </w:rPr>
        <w:t>emitentu</w:t>
      </w:r>
      <w:r w:rsidR="00D75AAE" w:rsidRPr="00D75AAE">
        <w:rPr>
          <w:rFonts w:ascii="Calibri" w:hAnsi="Calibri" w:cs="Calibri"/>
          <w:lang w:val="en-US"/>
        </w:rPr>
        <w:t xml:space="preserve"> </w:t>
      </w:r>
      <w:r w:rsidR="00A631A9" w:rsidRPr="00EC5B26">
        <w:rPr>
          <w:rFonts w:ascii="Calibri" w:hAnsi="Calibri" w:cs="Calibri"/>
          <w:lang w:val="en-US"/>
        </w:rPr>
        <w:t>Hidroelektrane na Drini a.d. Višegrad</w:t>
      </w:r>
      <w:r w:rsidR="00A631A9">
        <w:rPr>
          <w:rFonts w:ascii="Calibri" w:hAnsi="Calibri" w:cs="Calibri"/>
          <w:lang w:val="en-US"/>
        </w:rPr>
        <w:t xml:space="preserve"> </w:t>
      </w:r>
      <w:r w:rsidR="00A95532">
        <w:rPr>
          <w:rFonts w:ascii="Calibri" w:hAnsi="Calibri" w:cs="Calibri"/>
          <w:lang w:val="en-US"/>
        </w:rPr>
        <w:t>13</w:t>
      </w:r>
      <w:r w:rsidR="00EC5B26">
        <w:rPr>
          <w:rFonts w:ascii="Calibri" w:hAnsi="Calibri" w:cs="Calibri"/>
          <w:lang w:val="en-US"/>
        </w:rPr>
        <w:t>,</w:t>
      </w:r>
      <w:r w:rsidR="00827B53">
        <w:rPr>
          <w:rFonts w:ascii="Calibri" w:hAnsi="Calibri" w:cs="Calibri"/>
          <w:lang w:val="en-US"/>
        </w:rPr>
        <w:t>97</w:t>
      </w:r>
      <w:r w:rsidR="00EC5B26">
        <w:rPr>
          <w:rFonts w:ascii="Calibri" w:hAnsi="Calibri" w:cs="Calibri"/>
          <w:lang w:val="en-US"/>
        </w:rPr>
        <w:t xml:space="preserve"> % neto vrijednosti imovine</w:t>
      </w:r>
      <w:r w:rsidR="004F5A2D">
        <w:rPr>
          <w:rFonts w:ascii="Calibri" w:hAnsi="Calibri" w:cs="Calibri"/>
          <w:lang w:val="en-US"/>
        </w:rPr>
        <w:t xml:space="preserve">, te </w:t>
      </w:r>
      <w:r w:rsidR="00A631A9">
        <w:rPr>
          <w:rFonts w:ascii="Calibri" w:hAnsi="Calibri" w:cs="Calibri"/>
          <w:lang w:val="en-US"/>
        </w:rPr>
        <w:t xml:space="preserve">Telekom Srpske a.d. Banja Luka </w:t>
      </w:r>
      <w:r w:rsidR="00827B53">
        <w:rPr>
          <w:rFonts w:ascii="Calibri" w:hAnsi="Calibri" w:cs="Calibri"/>
          <w:lang w:val="en-US"/>
        </w:rPr>
        <w:t>sa 13</w:t>
      </w:r>
      <w:r w:rsidR="00A95532">
        <w:rPr>
          <w:rFonts w:ascii="Calibri" w:hAnsi="Calibri" w:cs="Calibri"/>
          <w:lang w:val="en-US"/>
        </w:rPr>
        <w:t>,</w:t>
      </w:r>
      <w:r w:rsidR="00827B53">
        <w:rPr>
          <w:rFonts w:ascii="Calibri" w:hAnsi="Calibri" w:cs="Calibri"/>
          <w:lang w:val="en-US"/>
        </w:rPr>
        <w:t>7</w:t>
      </w:r>
      <w:r w:rsidR="00A95532">
        <w:rPr>
          <w:rFonts w:ascii="Calibri" w:hAnsi="Calibri" w:cs="Calibri"/>
          <w:lang w:val="en-US"/>
        </w:rPr>
        <w:t>4</w:t>
      </w:r>
      <w:r w:rsidR="00EC5B26">
        <w:rPr>
          <w:rFonts w:ascii="Calibri" w:hAnsi="Calibri" w:cs="Calibri"/>
          <w:lang w:val="en-US"/>
        </w:rPr>
        <w:t xml:space="preserve">% neto vrijednosti imovine i </w:t>
      </w:r>
      <w:r w:rsidR="00EC5B26" w:rsidRPr="00EC5B26">
        <w:rPr>
          <w:rFonts w:ascii="Calibri" w:hAnsi="Calibri" w:cs="Calibri"/>
          <w:lang w:val="en-US"/>
        </w:rPr>
        <w:t>Hidroelektrane na Trebišnjici a.d. Trebinje</w:t>
      </w:r>
      <w:r w:rsidR="00827B53">
        <w:rPr>
          <w:rFonts w:ascii="Calibri" w:hAnsi="Calibri" w:cs="Calibri"/>
          <w:lang w:val="en-US"/>
        </w:rPr>
        <w:t xml:space="preserve"> sa učešćem od 9</w:t>
      </w:r>
      <w:r w:rsidR="00A631A9">
        <w:rPr>
          <w:rFonts w:ascii="Calibri" w:hAnsi="Calibri" w:cs="Calibri"/>
          <w:lang w:val="en-US"/>
        </w:rPr>
        <w:t>,</w:t>
      </w:r>
      <w:r w:rsidR="00827B53">
        <w:rPr>
          <w:rFonts w:ascii="Calibri" w:hAnsi="Calibri" w:cs="Calibri"/>
          <w:lang w:val="en-US"/>
        </w:rPr>
        <w:t>93</w:t>
      </w:r>
      <w:r w:rsidR="00EC5B26">
        <w:rPr>
          <w:rFonts w:ascii="Calibri" w:hAnsi="Calibri" w:cs="Calibri"/>
          <w:lang w:val="en-US"/>
        </w:rPr>
        <w:t>% u neto vrijednosti imovine.</w:t>
      </w:r>
      <w:r w:rsidR="00E01CA9">
        <w:rPr>
          <w:rFonts w:ascii="Calibri" w:hAnsi="Calibri" w:cs="Calibri"/>
          <w:lang w:val="en-US"/>
        </w:rPr>
        <w:t xml:space="preserve"> </w:t>
      </w:r>
      <w:r w:rsidR="00EC5B26" w:rsidRPr="00EC5B26">
        <w:rPr>
          <w:rFonts w:ascii="Calibri" w:hAnsi="Calibri" w:cs="Calibri"/>
          <w:lang w:val="en-US"/>
        </w:rPr>
        <w:t>Rudnici željezne rude Ljubija a.d. Prijedor</w:t>
      </w:r>
      <w:r w:rsidR="00EC5B26">
        <w:rPr>
          <w:rFonts w:ascii="Calibri" w:hAnsi="Calibri" w:cs="Calibri"/>
          <w:lang w:val="en-US"/>
        </w:rPr>
        <w:t xml:space="preserve"> </w:t>
      </w:r>
      <w:r w:rsidR="00827B53">
        <w:rPr>
          <w:rFonts w:ascii="Calibri" w:hAnsi="Calibri" w:cs="Calibri"/>
          <w:lang w:val="en-US"/>
        </w:rPr>
        <w:t xml:space="preserve">i </w:t>
      </w:r>
      <w:r w:rsidR="00E01CA9">
        <w:rPr>
          <w:rFonts w:ascii="Calibri" w:hAnsi="Calibri" w:cs="Calibri"/>
          <w:lang w:val="en-US"/>
        </w:rPr>
        <w:t xml:space="preserve"> </w:t>
      </w:r>
      <w:r w:rsidR="00827B53" w:rsidRPr="00827B53">
        <w:rPr>
          <w:rFonts w:ascii="Calibri" w:hAnsi="Calibri" w:cs="Calibri"/>
          <w:lang w:val="en-US"/>
        </w:rPr>
        <w:t xml:space="preserve">Sarajevo gas a.d. Istočno Sarajevo </w:t>
      </w:r>
      <w:r w:rsidR="00E01CA9">
        <w:rPr>
          <w:rFonts w:ascii="Calibri" w:hAnsi="Calibri" w:cs="Calibri"/>
          <w:lang w:val="en-US"/>
        </w:rPr>
        <w:t>je</w:t>
      </w:r>
      <w:r w:rsidR="00415C7F">
        <w:rPr>
          <w:rFonts w:ascii="Calibri" w:hAnsi="Calibri" w:cs="Calibri"/>
          <w:lang w:val="en-US"/>
        </w:rPr>
        <w:t xml:space="preserve"> uz gore tri nabrojana</w:t>
      </w:r>
      <w:r w:rsidR="00971848">
        <w:rPr>
          <w:rFonts w:ascii="Calibri" w:hAnsi="Calibri" w:cs="Calibri"/>
          <w:lang w:val="en-US"/>
        </w:rPr>
        <w:t xml:space="preserve"> </w:t>
      </w:r>
      <w:r w:rsidR="00E01CA9">
        <w:rPr>
          <w:rFonts w:ascii="Calibri" w:hAnsi="Calibri" w:cs="Calibri"/>
          <w:lang w:val="en-US"/>
        </w:rPr>
        <w:t>jedini emitent</w:t>
      </w:r>
      <w:r w:rsidR="00827B53">
        <w:rPr>
          <w:rFonts w:ascii="Calibri" w:hAnsi="Calibri" w:cs="Calibri"/>
          <w:lang w:val="en-US"/>
        </w:rPr>
        <w:t>i</w:t>
      </w:r>
      <w:r w:rsidR="00E01CA9">
        <w:rPr>
          <w:rFonts w:ascii="Calibri" w:hAnsi="Calibri" w:cs="Calibri"/>
          <w:lang w:val="en-US"/>
        </w:rPr>
        <w:t xml:space="preserve"> gdje ulaganje prelazi 5 % neto vrijednosti imovine</w:t>
      </w:r>
      <w:r w:rsidR="00FE7372">
        <w:rPr>
          <w:rFonts w:ascii="Calibri" w:hAnsi="Calibri" w:cs="Calibri"/>
          <w:lang w:val="en-US"/>
        </w:rPr>
        <w:t xml:space="preserve">, </w:t>
      </w:r>
      <w:r w:rsidR="00827B53">
        <w:rPr>
          <w:rFonts w:ascii="Calibri" w:hAnsi="Calibri" w:cs="Calibri"/>
          <w:lang w:val="en-US"/>
        </w:rPr>
        <w:t>tačnije njihovo</w:t>
      </w:r>
      <w:r w:rsidR="00A631A9">
        <w:rPr>
          <w:rFonts w:ascii="Calibri" w:hAnsi="Calibri" w:cs="Calibri"/>
          <w:lang w:val="en-US"/>
        </w:rPr>
        <w:t xml:space="preserve"> učešće je </w:t>
      </w:r>
      <w:r w:rsidR="00827B53">
        <w:rPr>
          <w:rFonts w:ascii="Calibri" w:hAnsi="Calibri" w:cs="Calibri"/>
          <w:lang w:val="en-US"/>
        </w:rPr>
        <w:t>8</w:t>
      </w:r>
      <w:r w:rsidR="00A631A9">
        <w:rPr>
          <w:rFonts w:ascii="Calibri" w:hAnsi="Calibri" w:cs="Calibri"/>
          <w:lang w:val="en-US"/>
        </w:rPr>
        <w:t>,</w:t>
      </w:r>
      <w:r w:rsidR="00827B53">
        <w:rPr>
          <w:rFonts w:ascii="Calibri" w:hAnsi="Calibri" w:cs="Calibri"/>
          <w:lang w:val="en-US"/>
        </w:rPr>
        <w:t>57</w:t>
      </w:r>
      <w:r w:rsidR="00EC5B26">
        <w:rPr>
          <w:rFonts w:ascii="Calibri" w:hAnsi="Calibri" w:cs="Calibri"/>
          <w:lang w:val="en-US"/>
        </w:rPr>
        <w:t>%</w:t>
      </w:r>
      <w:r w:rsidR="00827B53">
        <w:rPr>
          <w:rFonts w:ascii="Calibri" w:hAnsi="Calibri" w:cs="Calibri"/>
          <w:lang w:val="en-US"/>
        </w:rPr>
        <w:t xml:space="preserve"> odnosno 6,25%</w:t>
      </w:r>
      <w:r w:rsidR="00EC5B26">
        <w:rPr>
          <w:rFonts w:ascii="Calibri" w:hAnsi="Calibri" w:cs="Calibri"/>
          <w:lang w:val="en-US"/>
        </w:rPr>
        <w:t>.</w:t>
      </w:r>
      <w:r w:rsidR="00C822F9">
        <w:rPr>
          <w:rFonts w:ascii="Calibri" w:hAnsi="Calibri" w:cs="Calibri"/>
          <w:lang w:val="en-US"/>
        </w:rPr>
        <w:t xml:space="preserve"> Ako izuzmemo re</w:t>
      </w:r>
      <w:r w:rsidR="00B27CFE">
        <w:rPr>
          <w:rFonts w:ascii="Calibri" w:hAnsi="Calibri" w:cs="Calibri"/>
          <w:lang w:val="en-US"/>
        </w:rPr>
        <w:t xml:space="preserve">lativno visoko učešće </w:t>
      </w:r>
      <w:r w:rsidR="00827B53">
        <w:rPr>
          <w:rFonts w:ascii="Calibri" w:hAnsi="Calibri" w:cs="Calibri"/>
          <w:lang w:val="en-US"/>
        </w:rPr>
        <w:t>ovih pet</w:t>
      </w:r>
      <w:r w:rsidR="00EC5B26">
        <w:rPr>
          <w:rFonts w:ascii="Calibri" w:hAnsi="Calibri" w:cs="Calibri"/>
          <w:lang w:val="en-US"/>
        </w:rPr>
        <w:t xml:space="preserve"> </w:t>
      </w:r>
      <w:r w:rsidR="00B27CFE">
        <w:rPr>
          <w:rFonts w:ascii="Calibri" w:hAnsi="Calibri" w:cs="Calibri"/>
          <w:lang w:val="en-US"/>
        </w:rPr>
        <w:t>emiten</w:t>
      </w:r>
      <w:r w:rsidR="00827B53">
        <w:rPr>
          <w:rFonts w:ascii="Calibri" w:hAnsi="Calibri" w:cs="Calibri"/>
          <w:lang w:val="en-US"/>
        </w:rPr>
        <w:t>a</w:t>
      </w:r>
      <w:r w:rsidR="00B27CFE">
        <w:rPr>
          <w:rFonts w:ascii="Calibri" w:hAnsi="Calibri" w:cs="Calibri"/>
          <w:lang w:val="en-US"/>
        </w:rPr>
        <w:t>ta</w:t>
      </w:r>
      <w:r w:rsidR="00C822F9">
        <w:rPr>
          <w:rFonts w:ascii="Calibri" w:hAnsi="Calibri" w:cs="Calibri"/>
          <w:lang w:val="en-US"/>
        </w:rPr>
        <w:t xml:space="preserve">, ostatak portfelja je </w:t>
      </w:r>
      <w:proofErr w:type="gramStart"/>
      <w:r w:rsidR="00C822F9">
        <w:rPr>
          <w:rFonts w:ascii="Calibri" w:hAnsi="Calibri" w:cs="Calibri"/>
          <w:lang w:val="en-US"/>
        </w:rPr>
        <w:t>dobro</w:t>
      </w:r>
      <w:proofErr w:type="gramEnd"/>
      <w:r w:rsidR="00C822F9">
        <w:rPr>
          <w:rFonts w:ascii="Calibri" w:hAnsi="Calibri" w:cs="Calibri"/>
          <w:lang w:val="en-US"/>
        </w:rPr>
        <w:t xml:space="preserve"> diverzifikovan, kako sa aspekta izloženosti prema vrstama hov</w:t>
      </w:r>
      <w:r w:rsidR="00183F19">
        <w:rPr>
          <w:rFonts w:ascii="Calibri" w:hAnsi="Calibri" w:cs="Calibri"/>
          <w:lang w:val="en-US"/>
        </w:rPr>
        <w:t>, tako i prema učešću pojedinačnih emitenata u portfelju</w:t>
      </w:r>
      <w:r w:rsidR="008D738D">
        <w:rPr>
          <w:rFonts w:ascii="Calibri" w:hAnsi="Calibri" w:cs="Calibri"/>
          <w:lang w:val="en-US"/>
        </w:rPr>
        <w:t>.</w:t>
      </w:r>
    </w:p>
    <w:p w:rsidR="001F069A" w:rsidRPr="00073FFA" w:rsidRDefault="001F069A" w:rsidP="001F069A">
      <w:pPr>
        <w:numPr>
          <w:ilvl w:val="0"/>
          <w:numId w:val="7"/>
        </w:numPr>
        <w:rPr>
          <w:rFonts w:ascii="Calibri" w:hAnsi="Calibri" w:cs="Calibri"/>
          <w:b/>
          <w:lang w:val="en-US"/>
        </w:rPr>
      </w:pPr>
      <w:r w:rsidRPr="00073FFA">
        <w:rPr>
          <w:rFonts w:ascii="Calibri" w:hAnsi="Calibri" w:cs="Calibri"/>
          <w:b/>
          <w:lang w:val="en-US"/>
        </w:rPr>
        <w:lastRenderedPageBreak/>
        <w:t>Bilansni pokazatelji</w:t>
      </w:r>
    </w:p>
    <w:p w:rsidR="001F069A" w:rsidRPr="00A21829" w:rsidRDefault="001F069A" w:rsidP="001F069A">
      <w:pPr>
        <w:rPr>
          <w:rFonts w:ascii="Calibri" w:hAnsi="Calibri" w:cs="Calibri"/>
          <w:b/>
          <w:lang w:val="en-US"/>
        </w:rPr>
      </w:pPr>
    </w:p>
    <w:p w:rsidR="001F069A" w:rsidRDefault="001F069A" w:rsidP="001F069A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5543F1">
        <w:rPr>
          <w:rFonts w:ascii="Calibri" w:hAnsi="Calibri" w:cs="Calibri"/>
          <w:lang w:val="en-US"/>
        </w:rPr>
        <w:t>Bilans uspjeha</w:t>
      </w:r>
      <w:r w:rsidR="00214C40">
        <w:rPr>
          <w:rFonts w:ascii="Calibri" w:hAnsi="Calibri" w:cs="Calibri"/>
          <w:lang w:val="en-US"/>
        </w:rPr>
        <w:t xml:space="preserve"> za period 01.01.202</w:t>
      </w:r>
      <w:r w:rsidR="00974DE9">
        <w:rPr>
          <w:rFonts w:ascii="Calibri" w:hAnsi="Calibri" w:cs="Calibri"/>
          <w:lang w:val="en-US"/>
        </w:rPr>
        <w:t>2.</w:t>
      </w:r>
      <w:r w:rsidRPr="00A21829">
        <w:rPr>
          <w:rFonts w:ascii="Calibri" w:hAnsi="Calibri" w:cs="Calibri"/>
          <w:lang w:val="en-US"/>
        </w:rPr>
        <w:t>-3</w:t>
      </w:r>
      <w:r w:rsidR="00974DE9">
        <w:rPr>
          <w:rFonts w:ascii="Calibri" w:hAnsi="Calibri" w:cs="Calibri"/>
          <w:lang w:val="en-US"/>
        </w:rPr>
        <w:t>0</w:t>
      </w:r>
      <w:r w:rsidRPr="00A21829">
        <w:rPr>
          <w:rFonts w:ascii="Calibri" w:hAnsi="Calibri" w:cs="Calibri"/>
          <w:lang w:val="en-US"/>
        </w:rPr>
        <w:t>.</w:t>
      </w:r>
      <w:r w:rsidR="00974DE9">
        <w:rPr>
          <w:rFonts w:ascii="Calibri" w:hAnsi="Calibri" w:cs="Calibri"/>
          <w:lang w:val="en-US"/>
        </w:rPr>
        <w:t>06</w:t>
      </w:r>
      <w:r w:rsidR="00214C40">
        <w:rPr>
          <w:rFonts w:ascii="Calibri" w:hAnsi="Calibri" w:cs="Calibri"/>
          <w:lang w:val="en-US"/>
        </w:rPr>
        <w:t>.202</w:t>
      </w:r>
      <w:r w:rsidR="00974DE9">
        <w:rPr>
          <w:rFonts w:ascii="Calibri" w:hAnsi="Calibri" w:cs="Calibri"/>
          <w:lang w:val="en-US"/>
        </w:rPr>
        <w:t>2</w:t>
      </w:r>
      <w:r w:rsidR="007457BA">
        <w:rPr>
          <w:rFonts w:ascii="Calibri" w:hAnsi="Calibri" w:cs="Calibri"/>
          <w:lang w:val="en-US"/>
        </w:rPr>
        <w:t>.godine</w:t>
      </w:r>
    </w:p>
    <w:p w:rsidR="007E1FA3" w:rsidRDefault="007E1FA3" w:rsidP="007E1FA3">
      <w:pPr>
        <w:rPr>
          <w:rFonts w:ascii="Calibri" w:hAnsi="Calibri" w:cs="Calibri"/>
          <w:lang w:val="en-US"/>
        </w:rPr>
      </w:pPr>
    </w:p>
    <w:tbl>
      <w:tblPr>
        <w:tblW w:w="8737" w:type="dxa"/>
        <w:tblInd w:w="95" w:type="dxa"/>
        <w:tblLook w:val="04A0" w:firstRow="1" w:lastRow="0" w:firstColumn="1" w:lastColumn="0" w:noHBand="0" w:noVBand="1"/>
      </w:tblPr>
      <w:tblGrid>
        <w:gridCol w:w="4970"/>
        <w:gridCol w:w="1232"/>
        <w:gridCol w:w="1374"/>
        <w:gridCol w:w="1161"/>
      </w:tblGrid>
      <w:tr w:rsidR="007E1FA3" w:rsidRPr="007E1FA3" w:rsidTr="001264AB">
        <w:trPr>
          <w:trHeight w:val="684"/>
        </w:trPr>
        <w:tc>
          <w:tcPr>
            <w:tcW w:w="4970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Pozicija</w:t>
            </w:r>
          </w:p>
        </w:tc>
        <w:tc>
          <w:tcPr>
            <w:tcW w:w="1232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Tekuća godina</w:t>
            </w:r>
          </w:p>
        </w:tc>
        <w:tc>
          <w:tcPr>
            <w:tcW w:w="1374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Prethodna godina</w:t>
            </w:r>
          </w:p>
        </w:tc>
        <w:tc>
          <w:tcPr>
            <w:tcW w:w="1161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Indeks (2/3)*100</w:t>
            </w:r>
          </w:p>
        </w:tc>
      </w:tr>
      <w:tr w:rsidR="007E1FA3" w:rsidRPr="007E1FA3" w:rsidTr="001264AB">
        <w:trPr>
          <w:trHeight w:val="334"/>
        </w:trPr>
        <w:tc>
          <w:tcPr>
            <w:tcW w:w="4970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74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7E1FA3" w:rsidRPr="007E1FA3" w:rsidRDefault="007E1FA3" w:rsidP="007E1FA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4</w:t>
            </w:r>
          </w:p>
        </w:tc>
      </w:tr>
      <w:tr w:rsidR="007E1FA3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FA3" w:rsidRPr="007E1FA3" w:rsidRDefault="007E1FA3" w:rsidP="007E1FA3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REALIZOVANI PRIHODI I RASHODI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FA3" w:rsidRPr="007E1FA3" w:rsidRDefault="007E1FA3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FA3" w:rsidRPr="007E1FA3" w:rsidRDefault="007E1FA3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FA3" w:rsidRPr="007E1FA3" w:rsidRDefault="007E1FA3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- Poslovni prihodi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073FFA" w:rsidP="00073FF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1.127</w:t>
            </w:r>
            <w:r w:rsidR="00A9553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952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073FFA" w:rsidP="00073FF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140</w:t>
            </w:r>
            <w:r w:rsidR="00A9553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769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1264AB" w:rsidP="00073FF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801</w:t>
            </w:r>
            <w:r w:rsidR="00214C40"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28</w:t>
            </w:r>
            <w:r w:rsidR="00214C40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 Prihodi od dividendi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7E1FA3" w:rsidRDefault="00073FFA" w:rsidP="00073FFA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1.066.884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073FFA" w:rsidP="00915337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53.827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073FFA" w:rsidRDefault="001264AB" w:rsidP="00073FFA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1.982</w:t>
            </w:r>
            <w:r w:rsidR="00362593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06</w:t>
            </w:r>
            <w:r w:rsidR="00214C40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 Prihodi od kamata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073FFA" w:rsidP="00915337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37.846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073FFA" w:rsidP="00073FFA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19.188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073FFA" w:rsidRDefault="001264AB" w:rsidP="00073FFA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197</w:t>
            </w:r>
            <w:r w:rsidR="00214C40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24</w:t>
            </w:r>
            <w:r w:rsidR="00214C40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667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 Amortizacija premije (diskonta) po osnovu HOV sa fiksnim r. dospi.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7E1FA3" w:rsidRDefault="00073FFA" w:rsidP="00915337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23.222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073FFA" w:rsidP="00915337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32.633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073FFA" w:rsidRDefault="001264AB" w:rsidP="00073FFA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71</w:t>
            </w:r>
            <w:r w:rsidR="00362593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16</w:t>
            </w:r>
            <w:r w:rsidR="00214C40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 Ostali poslovni prihodi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073FFA" w:rsidP="007E1FA3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073FFA" w:rsidP="00214C40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35.121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073FFA" w:rsidRDefault="00214C40" w:rsidP="007E1FA3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A631A9" w:rsidRDefault="00214C40" w:rsidP="007E1FA3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A631A9">
              <w:rPr>
                <w:rFonts w:ascii="Calibri" w:hAnsi="Calibri"/>
                <w:b/>
                <w:sz w:val="22"/>
                <w:szCs w:val="22"/>
                <w:lang w:val="en-US"/>
              </w:rPr>
              <w:t>- Realizovani dobitak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047641" w:rsidRDefault="00073FFA" w:rsidP="00A95532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47641">
              <w:rPr>
                <w:rFonts w:ascii="Calibri" w:hAnsi="Calibri"/>
                <w:b/>
                <w:sz w:val="22"/>
                <w:szCs w:val="22"/>
                <w:lang w:val="en-US"/>
              </w:rPr>
              <w:t>879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047641" w:rsidRDefault="00073FFA" w:rsidP="00214C40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47641">
              <w:rPr>
                <w:rFonts w:ascii="Calibri" w:hAnsi="Calibri"/>
                <w:b/>
                <w:sz w:val="22"/>
                <w:szCs w:val="22"/>
                <w:lang w:val="en-US"/>
              </w:rPr>
              <w:t>337.204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047641" w:rsidRDefault="001264AB" w:rsidP="00073FF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04764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0</w:t>
            </w:r>
            <w:r w:rsidR="00362593" w:rsidRPr="0004764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 w:rsidRPr="0004764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26</w:t>
            </w:r>
            <w:r w:rsidR="00362593" w:rsidRPr="0004764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667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 Realizovani dobici po osnovu prodaje hartija od vrijednosti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073FFA" w:rsidP="00A95532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073FFA" w:rsidP="00214C40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336.522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073FFA" w:rsidRDefault="001264AB" w:rsidP="00073FFA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0</w:t>
            </w:r>
            <w:r w:rsidR="00362593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26</w:t>
            </w:r>
            <w:r w:rsidR="00362593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-Realizovani dobitak po osnovu kursnih razlika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7E1FA3" w:rsidRDefault="00073FFA" w:rsidP="007E1FA3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073FFA" w:rsidP="00214C40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073FFA" w:rsidRDefault="00073FFA" w:rsidP="00A95532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- Poslovni rashodi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DB5685" w:rsidP="0091533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506.141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DB5685" w:rsidP="0091533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263.694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1264AB" w:rsidP="00DB568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191</w:t>
            </w:r>
            <w:r w:rsidR="00B57171" w:rsidRPr="00B5717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94</w:t>
            </w:r>
            <w:r w:rsidR="00B57171" w:rsidRPr="00B5717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 Naknada društvu za upravljanje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7E1FA3" w:rsidRDefault="00DB5685" w:rsidP="00915337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505.524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DB5685" w:rsidP="00214C40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246.679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073FFA" w:rsidRDefault="001264AB" w:rsidP="00DB5685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204</w:t>
            </w:r>
            <w:r w:rsidR="00214C40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93</w:t>
            </w:r>
            <w:r w:rsidR="00214C40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214C40" w:rsidRDefault="00214C40" w:rsidP="007E1FA3">
            <w:pPr>
              <w:rPr>
                <w:rFonts w:ascii="Calibri" w:hAnsi="Calibri"/>
                <w:sz w:val="22"/>
                <w:szCs w:val="22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>Troškovi kupovine i prodaje ulaganja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DB5685" w:rsidP="00A95532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DB5685" w:rsidP="00DB5685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17.015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073FFA" w:rsidRDefault="001264AB" w:rsidP="007E1FA3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3</w:t>
            </w:r>
            <w:r w:rsidR="00DB5685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63</w:t>
            </w:r>
            <w:r w:rsidR="00DB5685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A631A9" w:rsidRDefault="00214C40" w:rsidP="007E1FA3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A631A9">
              <w:rPr>
                <w:rFonts w:ascii="Calibri" w:hAnsi="Calibri"/>
                <w:b/>
                <w:sz w:val="22"/>
                <w:szCs w:val="22"/>
                <w:lang w:val="en-US"/>
              </w:rPr>
              <w:t>- Realizovani gubitak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7E1FA3" w:rsidRDefault="00DB5685" w:rsidP="00915337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C40" w:rsidRPr="007E1FA3" w:rsidRDefault="00DB5685" w:rsidP="00214C40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1.546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C40" w:rsidRPr="00073FFA" w:rsidRDefault="003456AE" w:rsidP="00DB5685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</w:t>
            </w:r>
            <w:r w:rsidR="00DB5685">
              <w:rPr>
                <w:rFonts w:ascii="Calibri" w:hAnsi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214C40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214C40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 Realizovani gubici na prodaji hartija od vrijednosti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7E1FA3" w:rsidRDefault="00214C40" w:rsidP="007E1FA3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214C40" w:rsidRPr="007E1FA3" w:rsidRDefault="00DB5685" w:rsidP="00214C40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214C40" w:rsidRPr="00073FFA" w:rsidRDefault="00DB5685" w:rsidP="007E1FA3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DB5685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7E1FA3" w:rsidRDefault="00DB5685" w:rsidP="007E1FA3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 R</w:t>
            </w: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ealizovani gubici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po osnovu kursnih razlika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685" w:rsidRPr="007E1FA3" w:rsidRDefault="00DB5685" w:rsidP="00501BA5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7E1FA3" w:rsidRDefault="00DB5685" w:rsidP="00501BA5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1.546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685" w:rsidRPr="00073FFA" w:rsidRDefault="00DB5685" w:rsidP="00501BA5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DB5685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3456AE" w:rsidRDefault="00DB5685" w:rsidP="007E1FA3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456AE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- Realizovani dobitak/gubitak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3456AE" w:rsidRDefault="00DB5685" w:rsidP="00576D06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622.690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3456AE" w:rsidRDefault="00DB5685" w:rsidP="00576D06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212.733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DB5685" w:rsidRPr="003456AE" w:rsidRDefault="001264AB" w:rsidP="00DB568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292</w:t>
            </w:r>
            <w:r w:rsidR="00DB5685" w:rsidRPr="003456AE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71</w:t>
            </w:r>
            <w:r w:rsidR="00DB5685" w:rsidRPr="003456AE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DB5685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7E1FA3" w:rsidRDefault="00DB5685" w:rsidP="00501BA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-Nerealizovani dobici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7E1FA3" w:rsidRDefault="00DB5685" w:rsidP="00501BA5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9.993.731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7E1FA3" w:rsidRDefault="00DB5685" w:rsidP="00501BA5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1.822.952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685" w:rsidRPr="00073FFA" w:rsidRDefault="001264AB" w:rsidP="00DB5685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548</w:t>
            </w:r>
            <w:r w:rsidR="00DB5685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22</w:t>
            </w:r>
            <w:r w:rsidR="00DB5685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DB5685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7E1FA3" w:rsidRDefault="00DB5685" w:rsidP="00501BA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sz w:val="22"/>
                <w:szCs w:val="22"/>
                <w:lang w:val="en-US"/>
              </w:rPr>
              <w:t>-Nerealizovani gubici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7E1FA3" w:rsidRDefault="00DB5685" w:rsidP="00501BA5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5.185.200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7E1FA3" w:rsidRDefault="00DB5685" w:rsidP="00501BA5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1.577.940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DB5685" w:rsidRPr="00073FFA" w:rsidRDefault="001264AB" w:rsidP="00DB5685">
            <w:pPr>
              <w:jc w:val="right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328</w:t>
            </w:r>
            <w:r w:rsidR="00DB5685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Cs/>
                <w:sz w:val="22"/>
                <w:szCs w:val="22"/>
                <w:lang w:val="en-US"/>
              </w:rPr>
              <w:t>61</w:t>
            </w:r>
            <w:r w:rsidR="00DB5685" w:rsidRPr="00073FFA">
              <w:rPr>
                <w:rFonts w:ascii="Calibri" w:hAnsi="Calibri"/>
                <w:bCs/>
                <w:sz w:val="22"/>
                <w:szCs w:val="22"/>
                <w:lang w:val="en-US"/>
              </w:rPr>
              <w:t>%</w:t>
            </w:r>
          </w:p>
        </w:tc>
      </w:tr>
      <w:tr w:rsidR="00DB5685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Default="00DB5685" w:rsidP="00501B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Ukupni nerealizovani gubitak/dobitak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DB5685" w:rsidRDefault="00DB5685" w:rsidP="00501BA5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DB5685">
              <w:rPr>
                <w:rFonts w:ascii="Calibri" w:hAnsi="Calibri"/>
                <w:b/>
                <w:sz w:val="22"/>
                <w:szCs w:val="22"/>
                <w:lang w:val="en-US"/>
              </w:rPr>
              <w:t>4.808.531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DB5685" w:rsidRDefault="00DB5685" w:rsidP="00501BA5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DB5685">
              <w:rPr>
                <w:rFonts w:ascii="Calibri" w:hAnsi="Calibri"/>
                <w:b/>
                <w:sz w:val="22"/>
                <w:szCs w:val="22"/>
                <w:lang w:val="en-US"/>
              </w:rPr>
              <w:t>245.012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685" w:rsidRPr="00DB5685" w:rsidRDefault="001264AB" w:rsidP="00DB568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1.962</w:t>
            </w:r>
            <w:r w:rsidR="00DB5685"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57</w:t>
            </w:r>
            <w:r w:rsidR="00DB5685"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DB5685" w:rsidRPr="00442D3A" w:rsidTr="001264AB">
        <w:trPr>
          <w:trHeight w:val="350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B4548B" w:rsidRDefault="00DB5685" w:rsidP="00501BA5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54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 Ukupna dobit/gubitak prije oporezivanja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DB5685" w:rsidRDefault="00DB5685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5.431.221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DB5685" w:rsidRPr="00DB5685" w:rsidRDefault="00DB5685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457.745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DB5685" w:rsidRPr="00DB5685" w:rsidRDefault="001264AB" w:rsidP="00DB568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1.186</w:t>
            </w:r>
            <w:r w:rsidR="00DB5685"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52</w:t>
            </w:r>
            <w:r w:rsidR="00DB5685"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1264AB" w:rsidRPr="007E1FA3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4AB" w:rsidRPr="00B4548B" w:rsidRDefault="001264AB" w:rsidP="00501BA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454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B454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Ukupna dobit/gubitak poslije oporezivanja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4AB" w:rsidRPr="00DB5685" w:rsidRDefault="001264AB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5.431.221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4AB" w:rsidRPr="00DB5685" w:rsidRDefault="001264AB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457.745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4AB" w:rsidRPr="00DB5685" w:rsidRDefault="001264AB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1.186</w:t>
            </w:r>
            <w:r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52</w:t>
            </w:r>
            <w:r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1264AB" w:rsidRPr="00073FFA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1264AB" w:rsidRPr="00073FFA" w:rsidRDefault="001264AB" w:rsidP="007E1FA3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73FF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- Povećanje neto imovine fonda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1264AB" w:rsidRPr="00DB5685" w:rsidRDefault="001264AB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5.431.221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1264AB" w:rsidRPr="00DB5685" w:rsidRDefault="001264AB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457.745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1264AB" w:rsidRPr="00DB5685" w:rsidRDefault="001264AB" w:rsidP="00501BA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1.186</w:t>
            </w:r>
            <w:r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52</w:t>
            </w:r>
            <w:r w:rsidRP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DB5685" w:rsidRPr="00073FFA" w:rsidTr="001264AB">
        <w:trPr>
          <w:trHeight w:val="334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073FFA" w:rsidRDefault="00DB5685" w:rsidP="007E1FA3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73FFA">
              <w:rPr>
                <w:rFonts w:ascii="Calibri" w:hAnsi="Calibri"/>
                <w:b/>
                <w:sz w:val="22"/>
                <w:szCs w:val="22"/>
                <w:lang w:val="en-US"/>
              </w:rPr>
              <w:t>- Smanjenje neto imovine fonda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073FFA" w:rsidRDefault="00DB5685" w:rsidP="007E1FA3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73FFA"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685" w:rsidRPr="00073FFA" w:rsidRDefault="00DB5685" w:rsidP="00214C40">
            <w:pPr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73FFA"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685" w:rsidRPr="00073FFA" w:rsidRDefault="00DB5685" w:rsidP="007E1FA3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073FFA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DB5685" w:rsidRPr="007E1FA3" w:rsidTr="001264AB">
        <w:trPr>
          <w:trHeight w:val="350"/>
        </w:trPr>
        <w:tc>
          <w:tcPr>
            <w:tcW w:w="4970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vAlign w:val="center"/>
            <w:hideMark/>
          </w:tcPr>
          <w:p w:rsidR="00DB5685" w:rsidRPr="007E1FA3" w:rsidRDefault="00DB5685" w:rsidP="007E1FA3">
            <w:pP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- Obična zarada po udjelu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vAlign w:val="center"/>
            <w:hideMark/>
          </w:tcPr>
          <w:p w:rsidR="00DB5685" w:rsidRPr="007E1FA3" w:rsidRDefault="00DB5685" w:rsidP="00DB568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E1FA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0,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9638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vAlign w:val="center"/>
            <w:hideMark/>
          </w:tcPr>
          <w:p w:rsidR="00DB5685" w:rsidRPr="007E1FA3" w:rsidRDefault="00DB5685" w:rsidP="00DB568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0,1575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noWrap/>
            <w:vAlign w:val="center"/>
            <w:hideMark/>
          </w:tcPr>
          <w:p w:rsidR="00DB5685" w:rsidRPr="007E1FA3" w:rsidRDefault="001264AB" w:rsidP="00DB568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611</w:t>
            </w:r>
            <w:r w:rsid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94</w:t>
            </w:r>
            <w:r w:rsidR="00DB5685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</w:tbl>
    <w:p w:rsidR="00B27CFE" w:rsidRDefault="00B27CFE" w:rsidP="001F069A">
      <w:pPr>
        <w:jc w:val="both"/>
        <w:rPr>
          <w:rFonts w:ascii="Calibri" w:hAnsi="Calibri" w:cs="Calibri"/>
          <w:lang w:val="en-US"/>
        </w:rPr>
      </w:pPr>
    </w:p>
    <w:p w:rsidR="001264AB" w:rsidRDefault="001264AB" w:rsidP="001264AB">
      <w:pPr>
        <w:jc w:val="both"/>
        <w:rPr>
          <w:rFonts w:ascii="Calibri" w:hAnsi="Calibri" w:cs="Calibri"/>
          <w:lang w:val="en-US"/>
        </w:rPr>
      </w:pPr>
      <w:r w:rsidRPr="006B3002">
        <w:rPr>
          <w:rFonts w:ascii="Calibri" w:hAnsi="Calibri" w:cs="Calibri"/>
          <w:lang w:val="en-US"/>
        </w:rPr>
        <w:t xml:space="preserve">U </w:t>
      </w:r>
      <w:r>
        <w:rPr>
          <w:rFonts w:ascii="Calibri" w:hAnsi="Calibri" w:cs="Calibri"/>
          <w:lang w:val="en-US"/>
        </w:rPr>
        <w:t>prvoj polovini</w:t>
      </w:r>
      <w:r w:rsidRPr="006B3002">
        <w:rPr>
          <w:rFonts w:ascii="Calibri" w:hAnsi="Calibri" w:cs="Calibri"/>
          <w:lang w:val="en-US"/>
        </w:rPr>
        <w:t xml:space="preserve"> 202</w:t>
      </w:r>
      <w:r>
        <w:rPr>
          <w:rFonts w:ascii="Calibri" w:hAnsi="Calibri" w:cs="Calibri"/>
          <w:lang w:val="en-US"/>
        </w:rPr>
        <w:t>2</w:t>
      </w:r>
      <w:r w:rsidRPr="006B3002">
        <w:rPr>
          <w:rFonts w:ascii="Calibri" w:hAnsi="Calibri" w:cs="Calibri"/>
          <w:lang w:val="en-US"/>
        </w:rPr>
        <w:t xml:space="preserve">.godine poslovni prihodi Fonda iznose </w:t>
      </w:r>
      <w:r>
        <w:rPr>
          <w:rFonts w:ascii="Calibri" w:hAnsi="Calibri" w:cs="Calibri"/>
          <w:lang w:val="en-US"/>
        </w:rPr>
        <w:t>1.127</w:t>
      </w:r>
      <w:r w:rsidRPr="006B3002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952</w:t>
      </w:r>
      <w:r w:rsidRPr="006B3002">
        <w:rPr>
          <w:rFonts w:ascii="Calibri" w:hAnsi="Calibri" w:cs="Calibri"/>
          <w:lang w:val="en-US"/>
        </w:rPr>
        <w:t xml:space="preserve"> KM a najveći dio, to jest </w:t>
      </w:r>
      <w:r>
        <w:rPr>
          <w:rFonts w:ascii="Calibri" w:hAnsi="Calibri" w:cs="Calibri"/>
          <w:lang w:val="en-US"/>
        </w:rPr>
        <w:t>94</w:t>
      </w:r>
      <w:r w:rsidRPr="006B3002">
        <w:rPr>
          <w:rFonts w:ascii="Calibri" w:hAnsi="Calibri" w:cs="Calibri"/>
          <w:lang w:val="en-US"/>
        </w:rPr>
        <w:t xml:space="preserve">%, se odnosi </w:t>
      </w:r>
      <w:proofErr w:type="gramStart"/>
      <w:r w:rsidRPr="006B3002">
        <w:rPr>
          <w:rFonts w:ascii="Calibri" w:hAnsi="Calibri" w:cs="Calibri"/>
          <w:lang w:val="en-US"/>
        </w:rPr>
        <w:t>na</w:t>
      </w:r>
      <w:proofErr w:type="gramEnd"/>
      <w:r w:rsidRPr="006B3002">
        <w:rPr>
          <w:rFonts w:ascii="Calibri" w:hAnsi="Calibri" w:cs="Calibri"/>
          <w:lang w:val="en-US"/>
        </w:rPr>
        <w:t xml:space="preserve"> prihode od dividendi</w:t>
      </w:r>
      <w:r w:rsidRPr="00047641">
        <w:rPr>
          <w:rFonts w:ascii="Calibri" w:hAnsi="Calibri" w:cs="Calibri"/>
          <w:lang w:val="en-US"/>
        </w:rPr>
        <w:t xml:space="preserve">. </w:t>
      </w:r>
      <w:r w:rsidR="00B91F61" w:rsidRPr="00047641">
        <w:rPr>
          <w:rFonts w:ascii="Calibri" w:hAnsi="Calibri" w:cs="Calibri"/>
          <w:lang w:val="en-US"/>
        </w:rPr>
        <w:t>U izvještajnom periodu p</w:t>
      </w:r>
      <w:r w:rsidRPr="00047641">
        <w:rPr>
          <w:rFonts w:ascii="Calibri" w:hAnsi="Calibri" w:cs="Calibri"/>
          <w:lang w:val="en-US"/>
        </w:rPr>
        <w:t>rihodi od kamata</w:t>
      </w:r>
      <w:r w:rsidR="00B91F61" w:rsidRPr="00047641">
        <w:rPr>
          <w:rFonts w:ascii="Calibri" w:hAnsi="Calibri" w:cs="Calibri"/>
          <w:lang w:val="en-US"/>
        </w:rPr>
        <w:t xml:space="preserve"> su ostvareni u skoro duplo v</w:t>
      </w:r>
      <w:r w:rsidR="00B91F61" w:rsidRPr="00047641">
        <w:rPr>
          <w:rFonts w:ascii="Calibri" w:hAnsi="Calibri" w:cs="Calibri"/>
        </w:rPr>
        <w:t xml:space="preserve">ećem iznosu u </w:t>
      </w:r>
      <w:r w:rsidR="00B91F61" w:rsidRPr="00047641">
        <w:rPr>
          <w:rFonts w:ascii="Calibri" w:hAnsi="Calibri" w:cs="Calibri"/>
          <w:lang w:val="en-US"/>
        </w:rPr>
        <w:t>poređenju sa istim periodom prethodne godine dok su prihodi od</w:t>
      </w:r>
      <w:r w:rsidRPr="00047641">
        <w:rPr>
          <w:rFonts w:ascii="Calibri" w:hAnsi="Calibri" w:cs="Calibri"/>
          <w:lang w:val="en-US"/>
        </w:rPr>
        <w:t xml:space="preserve"> amortizacije po osnovu hartija sa fiksnim rokom dospijeća</w:t>
      </w:r>
      <w:r w:rsidR="00B91F61" w:rsidRPr="00047641">
        <w:rPr>
          <w:rFonts w:ascii="Calibri" w:hAnsi="Calibri" w:cs="Calibri"/>
          <w:lang w:val="en-US"/>
        </w:rPr>
        <w:t xml:space="preserve"> niži za 28</w:t>
      </w:r>
      <w:proofErr w:type="gramStart"/>
      <w:r w:rsidR="00B91F61" w:rsidRPr="00047641">
        <w:rPr>
          <w:rFonts w:ascii="Calibri" w:hAnsi="Calibri" w:cs="Calibri"/>
          <w:lang w:val="en-US"/>
        </w:rPr>
        <w:t>,84</w:t>
      </w:r>
      <w:proofErr w:type="gramEnd"/>
      <w:r w:rsidR="00B91F61" w:rsidRPr="00047641">
        <w:rPr>
          <w:rFonts w:ascii="Calibri" w:hAnsi="Calibri" w:cs="Calibri"/>
          <w:lang w:val="en-US"/>
        </w:rPr>
        <w:t>% u poređenju sa istim periodom prethodne godine</w:t>
      </w:r>
      <w:r w:rsidRPr="00047641">
        <w:rPr>
          <w:rFonts w:ascii="Calibri" w:hAnsi="Calibri" w:cs="Calibri"/>
          <w:lang w:val="en-US"/>
        </w:rPr>
        <w:t>.</w:t>
      </w:r>
    </w:p>
    <w:p w:rsidR="001264AB" w:rsidRPr="006B3002" w:rsidRDefault="001264AB" w:rsidP="001264AB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Ukupni</w:t>
      </w:r>
      <w:r w:rsidRPr="006B3002">
        <w:rPr>
          <w:rFonts w:ascii="Calibri" w:hAnsi="Calibri" w:cs="Calibri"/>
          <w:lang w:val="en-US"/>
        </w:rPr>
        <w:t xml:space="preserve"> poslovni prihodi u prvoj polovini 2022.godine za </w:t>
      </w:r>
      <w:r>
        <w:rPr>
          <w:rFonts w:ascii="Calibri" w:hAnsi="Calibri" w:cs="Calibri"/>
          <w:lang w:val="en-US"/>
        </w:rPr>
        <w:t>osam puta veći u osnosu</w:t>
      </w:r>
      <w:r w:rsidRPr="006B3002">
        <w:rPr>
          <w:rFonts w:ascii="Calibri" w:hAnsi="Calibri" w:cs="Calibri"/>
          <w:lang w:val="en-US"/>
        </w:rPr>
        <w:t xml:space="preserve"> </w:t>
      </w:r>
      <w:proofErr w:type="gramStart"/>
      <w:r w:rsidRPr="006B3002">
        <w:rPr>
          <w:rFonts w:ascii="Calibri" w:hAnsi="Calibri" w:cs="Calibri"/>
          <w:lang w:val="en-US"/>
        </w:rPr>
        <w:t>na</w:t>
      </w:r>
      <w:proofErr w:type="gramEnd"/>
      <w:r w:rsidRPr="006B3002">
        <w:rPr>
          <w:rFonts w:ascii="Calibri" w:hAnsi="Calibri" w:cs="Calibri"/>
          <w:lang w:val="en-US"/>
        </w:rPr>
        <w:t xml:space="preserve"> isti period prošle godine</w:t>
      </w:r>
      <w:r>
        <w:rPr>
          <w:rFonts w:ascii="Calibri" w:hAnsi="Calibri" w:cs="Calibri"/>
          <w:lang w:val="en-US"/>
        </w:rPr>
        <w:t xml:space="preserve"> a kao rezultat je značajno povećanje prihoda od dividendi. Do ovoga je dovela dividenda emitenta RŽR Ljubija a.d. Prijedor koja je isplatila dividendu u ukupnom iznosu </w:t>
      </w:r>
      <w:proofErr w:type="gramStart"/>
      <w:r>
        <w:rPr>
          <w:rFonts w:ascii="Calibri" w:hAnsi="Calibri" w:cs="Calibri"/>
          <w:lang w:val="en-US"/>
        </w:rPr>
        <w:t>od</w:t>
      </w:r>
      <w:proofErr w:type="gramEnd"/>
      <w:r>
        <w:rPr>
          <w:rFonts w:ascii="Calibri" w:hAnsi="Calibri" w:cs="Calibri"/>
          <w:lang w:val="en-US"/>
        </w:rPr>
        <w:t xml:space="preserve"> </w:t>
      </w:r>
      <w:r w:rsidR="00C2588F">
        <w:rPr>
          <w:rFonts w:ascii="Calibri" w:hAnsi="Calibri" w:cs="Calibri"/>
          <w:lang w:val="en-US"/>
        </w:rPr>
        <w:t>961.926 KM.</w:t>
      </w:r>
    </w:p>
    <w:p w:rsidR="001264AB" w:rsidRPr="006B3002" w:rsidRDefault="001264AB" w:rsidP="001264AB">
      <w:pPr>
        <w:jc w:val="both"/>
        <w:rPr>
          <w:rFonts w:ascii="Calibri" w:hAnsi="Calibri" w:cs="Calibri"/>
          <w:lang w:val="en-US"/>
        </w:rPr>
      </w:pPr>
      <w:r w:rsidRPr="006B3002">
        <w:rPr>
          <w:rFonts w:ascii="Calibri" w:hAnsi="Calibri" w:cs="Calibri"/>
          <w:lang w:val="en-US"/>
        </w:rPr>
        <w:lastRenderedPageBreak/>
        <w:t xml:space="preserve">Poslovni rashodi Fonda u prvoj polovini tekuće godine iznose </w:t>
      </w:r>
      <w:r w:rsidR="00C2588F">
        <w:rPr>
          <w:rFonts w:ascii="Calibri" w:hAnsi="Calibri" w:cs="Calibri"/>
          <w:lang w:val="en-US"/>
        </w:rPr>
        <w:t>506.141</w:t>
      </w:r>
      <w:r w:rsidRPr="006B3002">
        <w:rPr>
          <w:rFonts w:ascii="Calibri" w:hAnsi="Calibri" w:cs="Calibri"/>
          <w:lang w:val="en-US"/>
        </w:rPr>
        <w:t xml:space="preserve"> KM, i najvećim dijelom se odnose </w:t>
      </w:r>
      <w:proofErr w:type="gramStart"/>
      <w:r w:rsidRPr="006B3002">
        <w:rPr>
          <w:rFonts w:ascii="Calibri" w:hAnsi="Calibri" w:cs="Calibri"/>
          <w:lang w:val="en-US"/>
        </w:rPr>
        <w:t>na</w:t>
      </w:r>
      <w:proofErr w:type="gramEnd"/>
      <w:r w:rsidRPr="006B3002">
        <w:rPr>
          <w:rFonts w:ascii="Calibri" w:hAnsi="Calibri" w:cs="Calibri"/>
          <w:lang w:val="en-US"/>
        </w:rPr>
        <w:t xml:space="preserve"> naknadu društvu za upravljanje a ostatak na troškove kupovine I prodaje ulaganja.</w:t>
      </w:r>
      <w:r w:rsidRPr="006B3002">
        <w:t xml:space="preserve"> </w:t>
      </w:r>
      <w:r w:rsidRPr="006B3002">
        <w:rPr>
          <w:rFonts w:ascii="Calibri" w:hAnsi="Calibri" w:cs="Calibri"/>
          <w:lang w:val="en-US"/>
        </w:rPr>
        <w:t xml:space="preserve">Neophodno napomenuti da je zbog promjene računovodstvenih standarda </w:t>
      </w:r>
      <w:proofErr w:type="gramStart"/>
      <w:r w:rsidRPr="006B3002">
        <w:rPr>
          <w:rFonts w:ascii="Calibri" w:hAnsi="Calibri" w:cs="Calibri"/>
          <w:lang w:val="en-US"/>
        </w:rPr>
        <w:t>od</w:t>
      </w:r>
      <w:proofErr w:type="gramEnd"/>
      <w:r w:rsidRPr="006B3002">
        <w:rPr>
          <w:rFonts w:ascii="Calibri" w:hAnsi="Calibri" w:cs="Calibri"/>
          <w:lang w:val="en-US"/>
        </w:rPr>
        <w:t xml:space="preserve"> 01.01.2021.godine svi troškovi kupoprodaje akcija se terete na bilans uspjeha kao trošak jer se sva imovina fonda u akcijama klasifikuje po fer vrijednosti kroz bilans uspjeha. </w:t>
      </w:r>
    </w:p>
    <w:p w:rsidR="001264AB" w:rsidRPr="006B3002" w:rsidRDefault="001264AB" w:rsidP="001264AB">
      <w:pPr>
        <w:jc w:val="both"/>
        <w:rPr>
          <w:rFonts w:ascii="Calibri" w:hAnsi="Calibri" w:cs="Calibri"/>
          <w:lang w:val="en-US"/>
        </w:rPr>
      </w:pPr>
      <w:r w:rsidRPr="006B3002">
        <w:rPr>
          <w:rFonts w:ascii="Calibri" w:hAnsi="Calibri" w:cs="Calibri"/>
          <w:lang w:val="en-US"/>
        </w:rPr>
        <w:t>Poslovni rashodi u prvoj polovini 202</w:t>
      </w:r>
      <w:r>
        <w:rPr>
          <w:rFonts w:ascii="Calibri" w:hAnsi="Calibri" w:cs="Calibri"/>
          <w:lang w:val="en-US"/>
        </w:rPr>
        <w:t>2</w:t>
      </w:r>
      <w:r w:rsidRPr="006B3002">
        <w:rPr>
          <w:rFonts w:ascii="Calibri" w:hAnsi="Calibri" w:cs="Calibri"/>
          <w:lang w:val="en-US"/>
        </w:rPr>
        <w:t xml:space="preserve">.godine su za </w:t>
      </w:r>
      <w:r w:rsidR="00C2588F">
        <w:rPr>
          <w:rFonts w:ascii="Calibri" w:hAnsi="Calibri" w:cs="Calibri"/>
          <w:lang w:val="en-US"/>
        </w:rPr>
        <w:t>91</w:t>
      </w:r>
      <w:proofErr w:type="gramStart"/>
      <w:r w:rsidRPr="006B3002">
        <w:rPr>
          <w:rFonts w:ascii="Calibri" w:hAnsi="Calibri" w:cs="Calibri"/>
          <w:lang w:val="en-US"/>
        </w:rPr>
        <w:t>,</w:t>
      </w:r>
      <w:r w:rsidR="00C2588F">
        <w:rPr>
          <w:rFonts w:ascii="Calibri" w:hAnsi="Calibri" w:cs="Calibri"/>
          <w:lang w:val="en-US"/>
        </w:rPr>
        <w:t>9</w:t>
      </w:r>
      <w:proofErr w:type="gramEnd"/>
      <w:r w:rsidRPr="006B3002">
        <w:rPr>
          <w:rFonts w:ascii="Calibri" w:hAnsi="Calibri" w:cs="Calibri"/>
          <w:lang w:val="en-US"/>
        </w:rPr>
        <w:t>% veći u odnosu na isti period prošle godine zbog veće provizije Društva za upravljanje.</w:t>
      </w:r>
    </w:p>
    <w:p w:rsidR="001264AB" w:rsidRPr="006B3002" w:rsidRDefault="001264AB" w:rsidP="001264AB">
      <w:pPr>
        <w:jc w:val="both"/>
        <w:rPr>
          <w:rFonts w:ascii="Calibri" w:hAnsi="Calibri" w:cs="Calibri"/>
          <w:lang w:val="en-US"/>
        </w:rPr>
      </w:pPr>
    </w:p>
    <w:p w:rsidR="001264AB" w:rsidRPr="00012CE6" w:rsidRDefault="001264AB" w:rsidP="001264AB">
      <w:pPr>
        <w:jc w:val="both"/>
        <w:rPr>
          <w:rFonts w:ascii="Calibri" w:hAnsi="Calibri" w:cs="Calibri"/>
          <w:lang w:val="de-DE"/>
        </w:rPr>
      </w:pPr>
      <w:r w:rsidRPr="006B3002">
        <w:rPr>
          <w:rFonts w:ascii="Calibri" w:hAnsi="Calibri" w:cs="Calibri"/>
          <w:lang w:val="de-DE"/>
        </w:rPr>
        <w:t>U periodu 01.01.2022-3</w:t>
      </w:r>
      <w:r>
        <w:rPr>
          <w:rFonts w:ascii="Calibri" w:hAnsi="Calibri" w:cs="Calibri"/>
          <w:lang w:val="de-DE"/>
        </w:rPr>
        <w:t>0</w:t>
      </w:r>
      <w:r w:rsidRPr="006B3002">
        <w:rPr>
          <w:rFonts w:ascii="Calibri" w:hAnsi="Calibri" w:cs="Calibri"/>
          <w:lang w:val="de-DE"/>
        </w:rPr>
        <w:t xml:space="preserve">.06.2022.godine ostvaren je dobitak od </w:t>
      </w:r>
      <w:r w:rsidR="00C2588F">
        <w:rPr>
          <w:rFonts w:ascii="Calibri" w:hAnsi="Calibri" w:cs="Calibri"/>
          <w:lang w:val="de-DE"/>
        </w:rPr>
        <w:t>5</w:t>
      </w:r>
      <w:r w:rsidRPr="006B3002">
        <w:rPr>
          <w:rFonts w:ascii="Calibri" w:hAnsi="Calibri" w:cs="Calibri"/>
          <w:lang w:val="de-DE"/>
        </w:rPr>
        <w:t>.</w:t>
      </w:r>
      <w:r w:rsidR="00C2588F">
        <w:rPr>
          <w:rFonts w:ascii="Calibri" w:hAnsi="Calibri" w:cs="Calibri"/>
          <w:lang w:val="de-DE"/>
        </w:rPr>
        <w:t>431</w:t>
      </w:r>
      <w:r w:rsidRPr="006B3002">
        <w:rPr>
          <w:rFonts w:ascii="Calibri" w:hAnsi="Calibri" w:cs="Arial"/>
          <w:color w:val="000000"/>
          <w:sz w:val="22"/>
          <w:szCs w:val="22"/>
        </w:rPr>
        <w:t>.</w:t>
      </w:r>
      <w:r w:rsidR="00C2588F">
        <w:rPr>
          <w:rFonts w:ascii="Calibri" w:hAnsi="Calibri" w:cs="Arial"/>
          <w:color w:val="000000"/>
          <w:sz w:val="22"/>
          <w:szCs w:val="22"/>
        </w:rPr>
        <w:t>221</w:t>
      </w:r>
      <w:r w:rsidRPr="006B300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6B3002">
        <w:rPr>
          <w:rFonts w:ascii="Calibri" w:hAnsi="Calibri" w:cs="Calibri"/>
          <w:sz w:val="22"/>
          <w:szCs w:val="22"/>
          <w:lang w:val="de-DE"/>
        </w:rPr>
        <w:t>KM,</w:t>
      </w:r>
      <w:r w:rsidRPr="006B3002">
        <w:rPr>
          <w:rFonts w:ascii="Calibri" w:hAnsi="Calibri" w:cs="Calibri"/>
          <w:lang w:val="de-DE"/>
        </w:rPr>
        <w:t xml:space="preserve"> odnosno dobitak po udjelu od 0,</w:t>
      </w:r>
      <w:r w:rsidR="00C2588F">
        <w:rPr>
          <w:rFonts w:ascii="Calibri" w:hAnsi="Calibri" w:cs="Calibri"/>
          <w:lang w:val="de-DE"/>
        </w:rPr>
        <w:t>9638</w:t>
      </w:r>
      <w:r w:rsidRPr="006B3002">
        <w:rPr>
          <w:rFonts w:ascii="Calibri" w:hAnsi="Calibri" w:cs="Calibri"/>
          <w:lang w:val="de-DE"/>
        </w:rPr>
        <w:t xml:space="preserve"> KM.</w:t>
      </w:r>
    </w:p>
    <w:p w:rsidR="001264AB" w:rsidRDefault="001264AB" w:rsidP="001F069A">
      <w:pPr>
        <w:jc w:val="both"/>
        <w:rPr>
          <w:rFonts w:ascii="Calibri" w:hAnsi="Calibri" w:cs="Calibri"/>
          <w:lang w:val="en-US"/>
        </w:rPr>
      </w:pPr>
    </w:p>
    <w:p w:rsidR="001264AB" w:rsidRDefault="001264AB" w:rsidP="001F069A">
      <w:pPr>
        <w:jc w:val="both"/>
        <w:rPr>
          <w:rFonts w:ascii="Calibri" w:hAnsi="Calibri" w:cs="Calibri"/>
          <w:lang w:val="en-US"/>
        </w:rPr>
      </w:pPr>
    </w:p>
    <w:p w:rsidR="001F069A" w:rsidRDefault="001F069A" w:rsidP="001F069A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523573">
        <w:rPr>
          <w:rFonts w:ascii="Calibri" w:hAnsi="Calibri" w:cs="Calibri"/>
          <w:lang w:val="en-US"/>
        </w:rPr>
        <w:t xml:space="preserve">Bilans stanja na dan </w:t>
      </w:r>
      <w:r w:rsidRPr="00047641">
        <w:rPr>
          <w:rFonts w:ascii="Calibri" w:hAnsi="Calibri" w:cs="Calibri"/>
          <w:lang w:val="en-US"/>
        </w:rPr>
        <w:t>3</w:t>
      </w:r>
      <w:r w:rsidR="00B91F61" w:rsidRPr="00047641">
        <w:rPr>
          <w:rFonts w:ascii="Calibri" w:hAnsi="Calibri" w:cs="Calibri"/>
          <w:lang w:val="en-US"/>
        </w:rPr>
        <w:t>0</w:t>
      </w:r>
      <w:r w:rsidRPr="00047641">
        <w:rPr>
          <w:rFonts w:ascii="Calibri" w:hAnsi="Calibri" w:cs="Calibri"/>
          <w:lang w:val="en-US"/>
        </w:rPr>
        <w:t>.</w:t>
      </w:r>
      <w:r w:rsidR="00B91F61" w:rsidRPr="00047641">
        <w:rPr>
          <w:rFonts w:ascii="Calibri" w:hAnsi="Calibri" w:cs="Calibri"/>
          <w:lang w:val="en-US"/>
        </w:rPr>
        <w:t>06.2022</w:t>
      </w:r>
      <w:r w:rsidRPr="00047641">
        <w:rPr>
          <w:rFonts w:ascii="Calibri" w:hAnsi="Calibri" w:cs="Calibri"/>
          <w:lang w:val="en-US"/>
        </w:rPr>
        <w:t>.</w:t>
      </w:r>
      <w:r w:rsidR="00566B37" w:rsidRPr="00047641">
        <w:rPr>
          <w:rFonts w:ascii="Calibri" w:hAnsi="Calibri" w:cs="Calibri"/>
          <w:lang w:val="en-US"/>
        </w:rPr>
        <w:t>godine</w:t>
      </w:r>
    </w:p>
    <w:p w:rsidR="00566B37" w:rsidRDefault="00566B37" w:rsidP="00566B37">
      <w:pPr>
        <w:rPr>
          <w:rFonts w:ascii="Calibri" w:hAnsi="Calibri" w:cs="Calibri"/>
          <w:lang w:val="en-US"/>
        </w:rPr>
      </w:pPr>
    </w:p>
    <w:tbl>
      <w:tblPr>
        <w:tblW w:w="9148" w:type="dxa"/>
        <w:tblInd w:w="95" w:type="dxa"/>
        <w:tblLook w:val="04A0" w:firstRow="1" w:lastRow="0" w:firstColumn="1" w:lastColumn="0" w:noHBand="0" w:noVBand="1"/>
      </w:tblPr>
      <w:tblGrid>
        <w:gridCol w:w="4832"/>
        <w:gridCol w:w="1810"/>
        <w:gridCol w:w="1391"/>
        <w:gridCol w:w="1115"/>
      </w:tblGrid>
      <w:tr w:rsidR="00566B37" w:rsidRPr="00C2588F" w:rsidTr="00C2588F">
        <w:trPr>
          <w:trHeight w:val="523"/>
        </w:trPr>
        <w:tc>
          <w:tcPr>
            <w:tcW w:w="4832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566B37" w:rsidRPr="00C2588F" w:rsidRDefault="00566B37" w:rsidP="00566B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Pozicija</w:t>
            </w:r>
          </w:p>
        </w:tc>
        <w:tc>
          <w:tcPr>
            <w:tcW w:w="1810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566B37" w:rsidRPr="00C2588F" w:rsidRDefault="00576D06" w:rsidP="004F6C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="004F6C14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4F6C14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06</w:t>
            </w:r>
            <w:r w:rsidR="00C83408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4F6C14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450165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91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566B37" w:rsidRPr="00C2588F" w:rsidRDefault="004F6C14" w:rsidP="00566B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31.12.2021.</w:t>
            </w:r>
          </w:p>
        </w:tc>
        <w:tc>
          <w:tcPr>
            <w:tcW w:w="1115" w:type="dxa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  <w:hideMark/>
          </w:tcPr>
          <w:p w:rsidR="00566B37" w:rsidRPr="00C2588F" w:rsidRDefault="00566B37" w:rsidP="00566B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Indeks (2/3)*100</w:t>
            </w:r>
          </w:p>
        </w:tc>
      </w:tr>
      <w:tr w:rsidR="00566B37" w:rsidRPr="00C2588F" w:rsidTr="00C2588F">
        <w:trPr>
          <w:trHeight w:val="255"/>
        </w:trPr>
        <w:tc>
          <w:tcPr>
            <w:tcW w:w="4832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566B37" w:rsidRPr="00C2588F" w:rsidRDefault="00566B37" w:rsidP="00566B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566B37" w:rsidRPr="00C2588F" w:rsidRDefault="00566B37" w:rsidP="00566B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1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566B37" w:rsidRPr="00C2588F" w:rsidRDefault="00566B37" w:rsidP="00566B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15" w:type="dxa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566B37" w:rsidRPr="00C2588F" w:rsidRDefault="00566B37" w:rsidP="00566B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66B37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37" w:rsidRPr="00C2588F" w:rsidRDefault="00566B37" w:rsidP="00566B3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UKUPNA IMOVINA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37" w:rsidRPr="00C2588F" w:rsidRDefault="00C2588F" w:rsidP="00576D06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32.455.939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37" w:rsidRPr="00C2588F" w:rsidRDefault="00C2588F" w:rsidP="00566B3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29.962.597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B37" w:rsidRPr="00C2588F" w:rsidRDefault="006D490A" w:rsidP="00C2588F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108</w:t>
            </w:r>
            <w:r w:rsidR="00334859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32</w:t>
            </w:r>
            <w:r w:rsidR="006A4D7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566B37" w:rsidRPr="00C2588F" w:rsidTr="00C2588F">
        <w:trPr>
          <w:trHeight w:val="255"/>
        </w:trPr>
        <w:tc>
          <w:tcPr>
            <w:tcW w:w="8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566B37" w:rsidRPr="00C2588F" w:rsidRDefault="00566B37" w:rsidP="00566B3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566B37" w:rsidRPr="00C2588F" w:rsidRDefault="00566B37" w:rsidP="00566B37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Gotovina i gotovinski ekvivalenti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C2588F" w:rsidP="00E01CA9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1.696.930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873.372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6D490A" w:rsidP="00C2588F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194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Ulaganja fonda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C2588F" w:rsidP="0078050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30.453.350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C2588F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28.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592</w:t>
            </w: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6D490A" w:rsidP="00780503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106</w:t>
            </w:r>
            <w:r w:rsidR="00C2588F"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51</w:t>
            </w:r>
            <w:r w:rsidR="00C2588F"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sz w:val="20"/>
                <w:szCs w:val="20"/>
              </w:rPr>
              <w:t>-</w:t>
            </w: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Ulaganja fonda u finansijska sredstva po fer vrijednosti kroz bilans uspijeha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C2588F" w:rsidP="00780503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24.270.939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19.620.929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6D490A" w:rsidP="00C2588F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123</w:t>
            </w:r>
            <w:r w:rsidR="00C2588F"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70</w:t>
            </w:r>
            <w:r w:rsidR="00C2588F"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-Ulaganja fonda u finansijska sredstva raspoloživa za prodaju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C2588F" w:rsidP="00780503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3.223.857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C2588F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1.42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339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6D490A" w:rsidP="00C2588F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225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86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338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Depoziti i plasmani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C2588F" w:rsidP="0078050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2.958.554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C2588F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7.54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</w:t>
            </w: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343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6D490A" w:rsidP="00C2588F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39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22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Potraživanja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C2588F" w:rsidP="0078050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305.659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C2588F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496</w:t>
            </w: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615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6D490A" w:rsidP="00C2588F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61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55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Potraživanja po osnovu prodaje hartija od vrijednosti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C2588F" w:rsidP="00E01CA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E01CA9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C2588F" w:rsidRPr="00C2588F" w:rsidTr="00C2588F">
        <w:trPr>
          <w:trHeight w:val="319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AF4912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- Potraživanja po osnovu </w:t>
            </w:r>
            <w:r w:rsidR="00AF491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datih avansa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78050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130.111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AF4912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159.972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6D490A" w:rsidP="00AF4912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81</w:t>
            </w:r>
            <w:r w:rsidR="00C2588F"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33</w:t>
            </w:r>
            <w:r w:rsidR="00C2588F"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Potraživanja po osnovu dividendi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C2588F" w:rsidP="00E01CA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173.127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334.155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6D490A" w:rsidP="00780503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51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81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Ostala potraživanja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78050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1.498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1.498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AF4912" w:rsidP="00E01CA9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100</w:t>
            </w:r>
            <w:r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00</w:t>
            </w:r>
            <w:r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Potraživanja od društva za upravljanje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C2588F" w:rsidP="00E01CA9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923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990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6D490A" w:rsidP="00780503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93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23</w:t>
            </w:r>
            <w:r w:rsidR="00C2588F" w:rsidRPr="00C2588F">
              <w:rPr>
                <w:rFonts w:ascii="Calibri" w:hAnsi="Calibri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E01CA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Obaveze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78050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261.458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75.083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6D490A" w:rsidP="00AF491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348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-Obaveze po osnovu ulaganja u hartije od vrijednosti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AF4912" w:rsidP="00566B37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Obaveze po osnovu otkupa udjela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212A0E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6.535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3.787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AF4912" w:rsidRDefault="006D490A" w:rsidP="00AF4912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172</w:t>
            </w:r>
            <w:r w:rsidR="00C2588F" w:rsidRPr="00AF491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56</w:t>
            </w:r>
            <w:r w:rsidR="00C2588F" w:rsidRPr="00AF491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- Obaveze prema </w:t>
            </w:r>
            <w:r w:rsidRPr="00C2588F">
              <w:rPr>
                <w:rFonts w:ascii="Calibri" w:hAnsi="Calibri"/>
                <w:noProof/>
                <w:color w:val="000000"/>
                <w:sz w:val="20"/>
                <w:szCs w:val="20"/>
                <w:lang w:val="en-US"/>
              </w:rPr>
              <w:t>društvu</w:t>
            </w: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za upravljanje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AF4912" w:rsidP="0078050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254.923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71.296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AF4912" w:rsidRDefault="006D490A" w:rsidP="00780503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357</w:t>
            </w:r>
            <w:r w:rsidR="00C2588F" w:rsidRPr="00AF491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56</w:t>
            </w:r>
            <w:r w:rsidR="00C2588F" w:rsidRPr="00AF491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NETO IMOVINA FONDA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780503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32.194.481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29.887.514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6D490A" w:rsidP="00AF4912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107</w:t>
            </w:r>
            <w:r w:rsidR="00C2588F"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72</w:t>
            </w:r>
            <w:r w:rsidR="00C2588F"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Kapital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AF4912" w:rsidP="00AF491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22.772.597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AF4912" w:rsidP="00AF491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866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555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6D490A" w:rsidP="00E01CA9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88</w:t>
            </w:r>
            <w:r w:rsidR="00AF4912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04</w:t>
            </w:r>
            <w:r w:rsidR="00C2588F"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Akcijski kapital – udjeli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78050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22.772.597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25.866.555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AF4912" w:rsidRDefault="006D490A" w:rsidP="00AF4912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88</w:t>
            </w:r>
            <w:r w:rsidR="00C2588F" w:rsidRPr="00AF4912">
              <w:rPr>
                <w:rFonts w:ascii="Calibri" w:hAnsi="Calibr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04</w:t>
            </w:r>
            <w:r w:rsidR="00C2588F" w:rsidRPr="00AF4912">
              <w:rPr>
                <w:rFonts w:ascii="Calibri" w:hAnsi="Calibri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Emisiona premija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AF4912" w:rsidP="00566B37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AF4912" w:rsidRDefault="00C2588F" w:rsidP="00566B37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AF491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Revalorizacione rezerve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78050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56.805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87.101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AF4912" w:rsidRDefault="006D490A" w:rsidP="00AF4912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65</w:t>
            </w:r>
            <w:r w:rsidR="00C2588F" w:rsidRPr="00AF4912">
              <w:rPr>
                <w:rFonts w:ascii="Calibri" w:hAnsi="Calibr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sz w:val="20"/>
                <w:szCs w:val="20"/>
                <w:lang w:val="en-US"/>
              </w:rPr>
              <w:t>22</w:t>
            </w:r>
            <w:r w:rsidR="00C2588F" w:rsidRPr="00AF4912">
              <w:rPr>
                <w:rFonts w:ascii="Calibri" w:hAnsi="Calibri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Neraspoređena dobit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AF4912" w:rsidP="00AF4912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9.775.256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AF4912" w:rsidP="00AF4912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4.344.035</w:t>
            </w:r>
            <w:r w:rsidR="00C2588F"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AF4912" w:rsidRDefault="006D490A" w:rsidP="00AF4912">
            <w:pPr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225</w:t>
            </w:r>
            <w:r w:rsidR="00C2588F" w:rsidRPr="00AF491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C2588F" w:rsidRPr="00AF491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AF4912" w:rsidRPr="00AF4912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912" w:rsidRPr="00AF4912" w:rsidRDefault="00AF4912" w:rsidP="00566B37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AF4912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en-US"/>
              </w:rPr>
              <w:t>- Neraspoređena dobit tekuće godine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912" w:rsidRPr="00AF4912" w:rsidRDefault="00AF4912" w:rsidP="00AF4912">
            <w:pPr>
              <w:jc w:val="right"/>
              <w:rPr>
                <w:rFonts w:ascii="Calibri" w:hAnsi="Calibri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val="en-US"/>
              </w:rPr>
              <w:t>5.431.221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912" w:rsidRPr="00AF4912" w:rsidRDefault="00AF4912" w:rsidP="00AF4912">
            <w:pPr>
              <w:jc w:val="right"/>
              <w:rPr>
                <w:rFonts w:ascii="Calibri" w:hAnsi="Calibri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val="en-US"/>
              </w:rPr>
              <w:t>2.023.984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912" w:rsidRPr="00AF4912" w:rsidRDefault="006D490A" w:rsidP="00212A0E">
            <w:pPr>
              <w:jc w:val="right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268</w:t>
            </w:r>
            <w:r w:rsidR="00AF4912" w:rsidRPr="00AF4912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34</w:t>
            </w:r>
            <w:r w:rsidR="00AF4912" w:rsidRPr="00AF4912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 Nepokriveni gubitak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</w:tcPr>
          <w:p w:rsidR="00C2588F" w:rsidRPr="00C2588F" w:rsidRDefault="00AF4912" w:rsidP="00566B37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410.177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410.177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EFD3D2"/>
            <w:vAlign w:val="center"/>
            <w:hideMark/>
          </w:tcPr>
          <w:p w:rsidR="00C2588F" w:rsidRPr="00AF4912" w:rsidRDefault="00C2588F" w:rsidP="006D490A">
            <w:pPr>
              <w:jc w:val="right"/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 w:rsidRPr="00AF4912">
              <w:rPr>
                <w:rFonts w:ascii="Calibri" w:hAnsi="Calibri"/>
                <w:bCs/>
                <w:sz w:val="20"/>
                <w:szCs w:val="20"/>
                <w:lang w:val="en-US"/>
              </w:rPr>
              <w:t>100,00%</w:t>
            </w:r>
          </w:p>
        </w:tc>
      </w:tr>
      <w:tr w:rsidR="00C2588F" w:rsidRPr="00C2588F" w:rsidTr="00C2588F">
        <w:trPr>
          <w:trHeight w:val="255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- Broj emitovanih udjela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88F" w:rsidRPr="00C2588F" w:rsidRDefault="00AF4912" w:rsidP="00B35E4F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5.312.769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88F" w:rsidRPr="00C2588F" w:rsidRDefault="00C2588F" w:rsidP="00AF491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5.819.611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88F" w:rsidRPr="00C2588F" w:rsidRDefault="006D490A" w:rsidP="006D49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91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2588F" w:rsidRPr="00C2588F" w:rsidTr="00C2588F">
        <w:trPr>
          <w:trHeight w:val="268"/>
        </w:trPr>
        <w:tc>
          <w:tcPr>
            <w:tcW w:w="4832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C2588F" w:rsidP="00566B3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- Neto imovina po udjelu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AF4912" w:rsidP="00AF491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="00C2588F"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0598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noWrap/>
            <w:vAlign w:val="center"/>
            <w:hideMark/>
          </w:tcPr>
          <w:p w:rsidR="00C2588F" w:rsidRPr="00C2588F" w:rsidRDefault="00C2588F" w:rsidP="00501BA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8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5,1357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C0504D" w:themeColor="accent2"/>
              <w:right w:val="nil"/>
            </w:tcBorders>
            <w:shd w:val="clear" w:color="auto" w:fill="EFD3D2"/>
            <w:vAlign w:val="center"/>
            <w:hideMark/>
          </w:tcPr>
          <w:p w:rsidR="00C2588F" w:rsidRPr="00C2588F" w:rsidRDefault="006D490A" w:rsidP="006D490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117</w:t>
            </w:r>
            <w:r w:rsidR="00C2588F"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99</w:t>
            </w:r>
            <w:r w:rsidR="00C2588F" w:rsidRPr="00C2588F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</w:tbl>
    <w:p w:rsidR="00566B37" w:rsidRPr="00523573" w:rsidRDefault="00566B37" w:rsidP="00566B37">
      <w:pPr>
        <w:rPr>
          <w:rFonts w:ascii="Calibri" w:hAnsi="Calibri" w:cs="Calibri"/>
          <w:lang w:val="en-US"/>
        </w:rPr>
      </w:pPr>
    </w:p>
    <w:p w:rsidR="00843B39" w:rsidRPr="007457BA" w:rsidRDefault="001F069A" w:rsidP="00FB7FCC">
      <w:pPr>
        <w:jc w:val="both"/>
        <w:rPr>
          <w:rFonts w:ascii="Calibri" w:hAnsi="Calibri" w:cs="Calibri"/>
          <w:lang w:val="en-US"/>
        </w:rPr>
      </w:pPr>
      <w:r w:rsidRPr="007457BA">
        <w:rPr>
          <w:rFonts w:ascii="Calibri" w:hAnsi="Calibri" w:cs="Calibri"/>
          <w:lang w:val="en-US"/>
        </w:rPr>
        <w:t>Ukupna imovina Fonda na dan 3</w:t>
      </w:r>
      <w:r w:rsidR="004F6C14">
        <w:rPr>
          <w:rFonts w:ascii="Calibri" w:hAnsi="Calibri" w:cs="Calibri"/>
          <w:lang w:val="en-US"/>
        </w:rPr>
        <w:t>0</w:t>
      </w:r>
      <w:r w:rsidRPr="007457BA">
        <w:rPr>
          <w:rFonts w:ascii="Calibri" w:hAnsi="Calibri" w:cs="Calibri"/>
          <w:lang w:val="en-US"/>
        </w:rPr>
        <w:t>.</w:t>
      </w:r>
      <w:r w:rsidR="004F6C14">
        <w:rPr>
          <w:rFonts w:ascii="Calibri" w:hAnsi="Calibri" w:cs="Calibri"/>
          <w:lang w:val="en-US"/>
        </w:rPr>
        <w:t>06</w:t>
      </w:r>
      <w:r w:rsidR="00CD0EB2">
        <w:rPr>
          <w:rFonts w:ascii="Calibri" w:hAnsi="Calibri" w:cs="Calibri"/>
          <w:lang w:val="en-US"/>
        </w:rPr>
        <w:t>.202</w:t>
      </w:r>
      <w:r w:rsidR="004F6C14">
        <w:rPr>
          <w:rFonts w:ascii="Calibri" w:hAnsi="Calibri" w:cs="Calibri"/>
          <w:lang w:val="en-US"/>
        </w:rPr>
        <w:t>2</w:t>
      </w:r>
      <w:r w:rsidRPr="007457BA">
        <w:rPr>
          <w:rFonts w:ascii="Calibri" w:hAnsi="Calibri" w:cs="Calibri"/>
          <w:lang w:val="en-US"/>
        </w:rPr>
        <w:t xml:space="preserve">.godine iznosi </w:t>
      </w:r>
      <w:r w:rsidR="004F6C14">
        <w:rPr>
          <w:rFonts w:ascii="Calibri" w:hAnsi="Calibri" w:cs="Calibri"/>
          <w:lang w:val="en-US"/>
        </w:rPr>
        <w:t>32</w:t>
      </w:r>
      <w:r w:rsidR="00B35E4F" w:rsidRPr="00B35E4F">
        <w:rPr>
          <w:rFonts w:ascii="Calibri" w:hAnsi="Calibri"/>
          <w:bCs/>
          <w:color w:val="000000"/>
          <w:lang w:val="en-US"/>
        </w:rPr>
        <w:t>.</w:t>
      </w:r>
      <w:r w:rsidR="004F6C14">
        <w:rPr>
          <w:rFonts w:ascii="Calibri" w:hAnsi="Calibri"/>
          <w:bCs/>
          <w:color w:val="000000"/>
          <w:lang w:val="en-US"/>
        </w:rPr>
        <w:t>455</w:t>
      </w:r>
      <w:r w:rsidR="00B35E4F" w:rsidRPr="00B35E4F">
        <w:rPr>
          <w:rFonts w:ascii="Calibri" w:hAnsi="Calibri"/>
          <w:bCs/>
          <w:color w:val="000000"/>
          <w:lang w:val="en-US"/>
        </w:rPr>
        <w:t>.</w:t>
      </w:r>
      <w:r w:rsidR="004F6C14">
        <w:rPr>
          <w:rFonts w:ascii="Calibri" w:hAnsi="Calibri"/>
          <w:bCs/>
          <w:color w:val="000000"/>
          <w:lang w:val="en-US"/>
        </w:rPr>
        <w:t>939</w:t>
      </w:r>
      <w:r w:rsidR="00B35E4F">
        <w:rPr>
          <w:rFonts w:ascii="Calibri" w:hAnsi="Calibri"/>
          <w:bCs/>
          <w:color w:val="000000"/>
          <w:lang w:val="en-US"/>
        </w:rPr>
        <w:t xml:space="preserve"> </w:t>
      </w:r>
      <w:r w:rsidRPr="007457BA">
        <w:rPr>
          <w:rFonts w:ascii="Calibri" w:hAnsi="Calibri" w:cs="Calibri"/>
          <w:lang w:val="en-US"/>
        </w:rPr>
        <w:t xml:space="preserve">KM, od čega se na ulaganja u hartije od vrijednosti odnosi </w:t>
      </w:r>
      <w:r w:rsidR="004F6C14" w:rsidRPr="00047641">
        <w:rPr>
          <w:rFonts w:ascii="Calibri" w:hAnsi="Calibri" w:cs="Calibri"/>
          <w:lang w:val="en-US"/>
        </w:rPr>
        <w:t>83</w:t>
      </w:r>
      <w:proofErr w:type="gramStart"/>
      <w:r w:rsidR="007457BA" w:rsidRPr="00047641">
        <w:rPr>
          <w:rFonts w:ascii="Calibri" w:hAnsi="Calibri" w:cs="Calibri"/>
          <w:lang w:val="en-US"/>
        </w:rPr>
        <w:t>,</w:t>
      </w:r>
      <w:r w:rsidR="004F6C14" w:rsidRPr="00047641">
        <w:rPr>
          <w:rFonts w:ascii="Calibri" w:hAnsi="Calibri" w:cs="Calibri"/>
          <w:lang w:val="en-US"/>
        </w:rPr>
        <w:t>90</w:t>
      </w:r>
      <w:proofErr w:type="gramEnd"/>
      <w:r w:rsidR="00B91F61" w:rsidRPr="00047641">
        <w:rPr>
          <w:rFonts w:ascii="Calibri" w:hAnsi="Calibri" w:cs="Calibri"/>
          <w:lang w:val="en-US"/>
        </w:rPr>
        <w:t>% imovine</w:t>
      </w:r>
      <w:bookmarkStart w:id="0" w:name="_GoBack"/>
      <w:bookmarkEnd w:id="0"/>
      <w:r w:rsidRPr="007457BA">
        <w:rPr>
          <w:rFonts w:ascii="Calibri" w:hAnsi="Calibri" w:cs="Calibri"/>
          <w:lang w:val="en-US"/>
        </w:rPr>
        <w:t xml:space="preserve">. </w:t>
      </w:r>
      <w:r w:rsidR="007457BA">
        <w:rPr>
          <w:rFonts w:ascii="Calibri" w:hAnsi="Calibri" w:cs="Calibri"/>
          <w:lang w:val="en-US"/>
        </w:rPr>
        <w:t>U odnosu na 31.</w:t>
      </w:r>
      <w:r w:rsidR="00CD0EB2">
        <w:rPr>
          <w:rFonts w:ascii="Calibri" w:hAnsi="Calibri" w:cs="Calibri"/>
          <w:lang w:val="en-US"/>
        </w:rPr>
        <w:t>12.202</w:t>
      </w:r>
      <w:r w:rsidR="004F6C14">
        <w:rPr>
          <w:rFonts w:ascii="Calibri" w:hAnsi="Calibri" w:cs="Calibri"/>
          <w:lang w:val="en-US"/>
        </w:rPr>
        <w:t>1</w:t>
      </w:r>
      <w:r w:rsidR="00506507" w:rsidRPr="007457BA">
        <w:rPr>
          <w:rFonts w:ascii="Calibri" w:hAnsi="Calibri" w:cs="Calibri"/>
          <w:lang w:val="en-US"/>
        </w:rPr>
        <w:t xml:space="preserve">.godine </w:t>
      </w:r>
      <w:r w:rsidR="003A5AAE">
        <w:rPr>
          <w:rFonts w:ascii="Calibri" w:hAnsi="Calibri" w:cs="Calibri"/>
          <w:lang w:val="en-US"/>
        </w:rPr>
        <w:t xml:space="preserve">ukupna imovina je porasla za </w:t>
      </w:r>
      <w:r w:rsidR="004F6C14">
        <w:rPr>
          <w:rFonts w:ascii="Calibri" w:hAnsi="Calibri" w:cs="Calibri"/>
          <w:lang w:val="en-US"/>
        </w:rPr>
        <w:t>8</w:t>
      </w:r>
      <w:proofErr w:type="gramStart"/>
      <w:r w:rsidR="007457BA">
        <w:rPr>
          <w:rFonts w:ascii="Calibri" w:hAnsi="Calibri" w:cs="Calibri"/>
          <w:lang w:val="en-US"/>
        </w:rPr>
        <w:t>,</w:t>
      </w:r>
      <w:r w:rsidR="004F6C14">
        <w:rPr>
          <w:rFonts w:ascii="Calibri" w:hAnsi="Calibri" w:cs="Calibri"/>
          <w:lang w:val="en-US"/>
        </w:rPr>
        <w:t>32</w:t>
      </w:r>
      <w:proofErr w:type="gramEnd"/>
      <w:r w:rsidR="007457BA">
        <w:rPr>
          <w:rFonts w:ascii="Calibri" w:hAnsi="Calibri" w:cs="Calibri"/>
          <w:lang w:val="en-US"/>
        </w:rPr>
        <w:t>%.</w:t>
      </w:r>
      <w:r w:rsidR="00506507" w:rsidRPr="007457BA">
        <w:rPr>
          <w:rFonts w:ascii="Calibri" w:hAnsi="Calibri" w:cs="Calibri"/>
          <w:lang w:val="en-US"/>
        </w:rPr>
        <w:t xml:space="preserve"> </w:t>
      </w:r>
    </w:p>
    <w:p w:rsidR="00843B39" w:rsidRPr="007457BA" w:rsidRDefault="00843B39" w:rsidP="001F069A">
      <w:pPr>
        <w:jc w:val="both"/>
        <w:rPr>
          <w:rFonts w:ascii="Calibri" w:hAnsi="Calibri" w:cs="Calibri"/>
          <w:lang w:val="en-US"/>
        </w:rPr>
      </w:pPr>
      <w:proofErr w:type="gramStart"/>
      <w:r w:rsidRPr="007457BA">
        <w:rPr>
          <w:rFonts w:ascii="Calibri" w:hAnsi="Calibri" w:cs="Calibri"/>
          <w:lang w:val="en-US"/>
        </w:rPr>
        <w:lastRenderedPageBreak/>
        <w:t xml:space="preserve">Obaveze iznose </w:t>
      </w:r>
      <w:r w:rsidR="004F6C14">
        <w:rPr>
          <w:rFonts w:ascii="Calibri" w:hAnsi="Calibri" w:cs="Calibri"/>
          <w:lang w:val="en-US"/>
        </w:rPr>
        <w:t>261</w:t>
      </w:r>
      <w:r w:rsidR="00B35E4F">
        <w:rPr>
          <w:rFonts w:ascii="Calibri" w:hAnsi="Calibri" w:cs="Calibri"/>
          <w:lang w:val="en-US"/>
        </w:rPr>
        <w:t>.</w:t>
      </w:r>
      <w:r w:rsidR="004F6C14">
        <w:rPr>
          <w:rFonts w:ascii="Calibri" w:hAnsi="Calibri" w:cs="Calibri"/>
          <w:lang w:val="en-US"/>
        </w:rPr>
        <w:t>458</w:t>
      </w:r>
      <w:r w:rsidR="00FB7FCC">
        <w:rPr>
          <w:rFonts w:ascii="Calibri" w:hAnsi="Calibri" w:cs="Calibri"/>
          <w:lang w:val="en-US"/>
        </w:rPr>
        <w:t xml:space="preserve"> </w:t>
      </w:r>
      <w:r w:rsidRPr="007457BA">
        <w:rPr>
          <w:rFonts w:ascii="Calibri" w:hAnsi="Calibri" w:cs="Calibri"/>
          <w:lang w:val="en-US"/>
        </w:rPr>
        <w:t xml:space="preserve">KM i čine </w:t>
      </w:r>
      <w:r w:rsidR="005D5469" w:rsidRPr="007457BA">
        <w:rPr>
          <w:rFonts w:ascii="Calibri" w:hAnsi="Calibri" w:cs="Calibri"/>
          <w:lang w:val="en-US"/>
        </w:rPr>
        <w:t xml:space="preserve">ih </w:t>
      </w:r>
      <w:r w:rsidR="00E96181">
        <w:rPr>
          <w:rFonts w:ascii="Calibri" w:hAnsi="Calibri" w:cs="Calibri"/>
          <w:lang w:val="en-US"/>
        </w:rPr>
        <w:t>većinom</w:t>
      </w:r>
      <w:r w:rsidR="00CD0EB2">
        <w:rPr>
          <w:rFonts w:ascii="Calibri" w:hAnsi="Calibri" w:cs="Calibri"/>
          <w:lang w:val="en-US"/>
        </w:rPr>
        <w:t xml:space="preserve"> obaveze</w:t>
      </w:r>
      <w:r w:rsidRPr="007457BA">
        <w:rPr>
          <w:rFonts w:ascii="Calibri" w:hAnsi="Calibri" w:cs="Calibri"/>
          <w:lang w:val="en-US"/>
        </w:rPr>
        <w:t xml:space="preserve"> prema društvu za upravljanje</w:t>
      </w:r>
      <w:r w:rsidR="00CD0EB2">
        <w:rPr>
          <w:rFonts w:ascii="Calibri" w:hAnsi="Calibri" w:cs="Calibri"/>
          <w:lang w:val="en-US"/>
        </w:rPr>
        <w:t xml:space="preserve"> i obaveze za otkup udjela</w:t>
      </w:r>
      <w:r w:rsidRPr="007457BA">
        <w:rPr>
          <w:rFonts w:ascii="Calibri" w:hAnsi="Calibri" w:cs="Calibri"/>
          <w:lang w:val="en-US"/>
        </w:rPr>
        <w:t>.</w:t>
      </w:r>
      <w:proofErr w:type="gramEnd"/>
    </w:p>
    <w:p w:rsidR="00843B39" w:rsidRDefault="001F069A" w:rsidP="001F069A">
      <w:pPr>
        <w:jc w:val="both"/>
        <w:rPr>
          <w:rFonts w:ascii="Calibri" w:hAnsi="Calibri" w:cs="Calibri"/>
          <w:lang w:val="en-US"/>
        </w:rPr>
      </w:pPr>
      <w:r w:rsidRPr="00A21829">
        <w:rPr>
          <w:rFonts w:ascii="Calibri" w:hAnsi="Calibri" w:cs="Calibri"/>
          <w:lang w:val="en-US"/>
        </w:rPr>
        <w:t xml:space="preserve">Neto imovina </w:t>
      </w:r>
      <w:r w:rsidR="00CD0EB2">
        <w:rPr>
          <w:rFonts w:ascii="Calibri" w:hAnsi="Calibri" w:cs="Calibri"/>
          <w:lang w:val="en-US"/>
        </w:rPr>
        <w:t>na dan 3</w:t>
      </w:r>
      <w:r w:rsidR="004F6C14">
        <w:rPr>
          <w:rFonts w:ascii="Calibri" w:hAnsi="Calibri" w:cs="Calibri"/>
          <w:lang w:val="en-US"/>
        </w:rPr>
        <w:t>0</w:t>
      </w:r>
      <w:r w:rsidR="00B35E4F">
        <w:rPr>
          <w:rFonts w:ascii="Calibri" w:hAnsi="Calibri" w:cs="Calibri"/>
          <w:lang w:val="en-US"/>
        </w:rPr>
        <w:t>.</w:t>
      </w:r>
      <w:r w:rsidR="004F6C14">
        <w:rPr>
          <w:rFonts w:ascii="Calibri" w:hAnsi="Calibri" w:cs="Calibri"/>
          <w:lang w:val="en-US"/>
        </w:rPr>
        <w:t>06</w:t>
      </w:r>
      <w:r w:rsidR="00CD0EB2">
        <w:rPr>
          <w:rFonts w:ascii="Calibri" w:hAnsi="Calibri" w:cs="Calibri"/>
          <w:lang w:val="en-US"/>
        </w:rPr>
        <w:t>.202</w:t>
      </w:r>
      <w:r w:rsidR="004F6C14">
        <w:rPr>
          <w:rFonts w:ascii="Calibri" w:hAnsi="Calibri" w:cs="Calibri"/>
          <w:lang w:val="en-US"/>
        </w:rPr>
        <w:t>2</w:t>
      </w:r>
      <w:r w:rsidR="005D6776">
        <w:rPr>
          <w:rFonts w:ascii="Calibri" w:hAnsi="Calibri" w:cs="Calibri"/>
          <w:lang w:val="en-US"/>
        </w:rPr>
        <w:t xml:space="preserve">.godine </w:t>
      </w:r>
      <w:r w:rsidR="007457BA">
        <w:rPr>
          <w:rFonts w:ascii="Calibri" w:hAnsi="Calibri" w:cs="Calibri"/>
          <w:lang w:val="en-US"/>
        </w:rPr>
        <w:t xml:space="preserve">je veća </w:t>
      </w:r>
      <w:r w:rsidRPr="00A21829">
        <w:rPr>
          <w:rFonts w:ascii="Calibri" w:hAnsi="Calibri" w:cs="Calibri"/>
          <w:lang w:val="en-US"/>
        </w:rPr>
        <w:t xml:space="preserve">u odnosu na početak izvještajnog perioda za </w:t>
      </w:r>
      <w:r w:rsidR="004F6C14">
        <w:rPr>
          <w:rFonts w:ascii="Calibri" w:hAnsi="Calibri" w:cs="Calibri"/>
          <w:lang w:val="en-US"/>
        </w:rPr>
        <w:t>7</w:t>
      </w:r>
      <w:proofErr w:type="gramStart"/>
      <w:r w:rsidR="007457BA">
        <w:rPr>
          <w:rFonts w:ascii="Calibri" w:hAnsi="Calibri" w:cs="Calibri"/>
          <w:lang w:val="en-US"/>
        </w:rPr>
        <w:t>,</w:t>
      </w:r>
      <w:r w:rsidR="004F6C14">
        <w:rPr>
          <w:rFonts w:ascii="Calibri" w:hAnsi="Calibri" w:cs="Calibri"/>
          <w:lang w:val="en-US"/>
        </w:rPr>
        <w:t>72</w:t>
      </w:r>
      <w:proofErr w:type="gramEnd"/>
      <w:r w:rsidR="00CD0EB2">
        <w:rPr>
          <w:rFonts w:ascii="Calibri" w:hAnsi="Calibri" w:cs="Calibri"/>
          <w:lang w:val="en-US"/>
        </w:rPr>
        <w:t xml:space="preserve"> </w:t>
      </w:r>
      <w:r w:rsidR="007457BA">
        <w:rPr>
          <w:rFonts w:ascii="Calibri" w:hAnsi="Calibri" w:cs="Calibri"/>
          <w:lang w:val="en-US"/>
        </w:rPr>
        <w:t>%</w:t>
      </w:r>
      <w:r w:rsidR="009F4E9D">
        <w:rPr>
          <w:rFonts w:ascii="Calibri" w:hAnsi="Calibri" w:cs="Calibri"/>
          <w:lang w:val="en-US"/>
        </w:rPr>
        <w:t xml:space="preserve"> a do povećanja je došlo zbog </w:t>
      </w:r>
      <w:r w:rsidR="004F6C14">
        <w:rPr>
          <w:rFonts w:ascii="Calibri" w:hAnsi="Calibri" w:cs="Calibri"/>
          <w:lang w:val="en-US"/>
        </w:rPr>
        <w:t>rasta vrijednosti ulaganja fonda</w:t>
      </w:r>
      <w:r w:rsidRPr="00A21829">
        <w:rPr>
          <w:rFonts w:ascii="Calibri" w:hAnsi="Calibri" w:cs="Calibri"/>
          <w:lang w:val="en-US"/>
        </w:rPr>
        <w:t xml:space="preserve">. </w:t>
      </w:r>
    </w:p>
    <w:p w:rsidR="007D4877" w:rsidRDefault="00506507" w:rsidP="001F069A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Broj emi</w:t>
      </w:r>
      <w:r w:rsidR="007457BA">
        <w:rPr>
          <w:rFonts w:ascii="Calibri" w:hAnsi="Calibri" w:cs="Calibri"/>
          <w:lang w:val="en-US"/>
        </w:rPr>
        <w:t>tovanih udjela</w:t>
      </w:r>
      <w:r w:rsidR="00B35E4F">
        <w:rPr>
          <w:rFonts w:ascii="Calibri" w:hAnsi="Calibri" w:cs="Calibri"/>
          <w:lang w:val="en-US"/>
        </w:rPr>
        <w:t xml:space="preserve"> na dan 3</w:t>
      </w:r>
      <w:r w:rsidR="004F6C14">
        <w:rPr>
          <w:rFonts w:ascii="Calibri" w:hAnsi="Calibri" w:cs="Calibri"/>
          <w:lang w:val="en-US"/>
        </w:rPr>
        <w:t>0</w:t>
      </w:r>
      <w:r w:rsidR="00B35E4F">
        <w:rPr>
          <w:rFonts w:ascii="Calibri" w:hAnsi="Calibri" w:cs="Calibri"/>
          <w:lang w:val="en-US"/>
        </w:rPr>
        <w:t>.</w:t>
      </w:r>
      <w:r w:rsidR="004F6C14">
        <w:rPr>
          <w:rFonts w:ascii="Calibri" w:hAnsi="Calibri" w:cs="Calibri"/>
          <w:lang w:val="en-US"/>
        </w:rPr>
        <w:t>06</w:t>
      </w:r>
      <w:r w:rsidR="00CD0EB2">
        <w:rPr>
          <w:rFonts w:ascii="Calibri" w:hAnsi="Calibri" w:cs="Calibri"/>
          <w:lang w:val="en-US"/>
        </w:rPr>
        <w:t>.202</w:t>
      </w:r>
      <w:r w:rsidR="004F6C14">
        <w:rPr>
          <w:rFonts w:ascii="Calibri" w:hAnsi="Calibri" w:cs="Calibri"/>
          <w:lang w:val="en-US"/>
        </w:rPr>
        <w:t>2</w:t>
      </w:r>
      <w:r>
        <w:rPr>
          <w:rFonts w:ascii="Calibri" w:hAnsi="Calibri" w:cs="Calibri"/>
          <w:lang w:val="en-US"/>
        </w:rPr>
        <w:t>.</w:t>
      </w:r>
      <w:r w:rsidR="003A5AAE">
        <w:rPr>
          <w:rFonts w:ascii="Calibri" w:hAnsi="Calibri" w:cs="Calibri"/>
          <w:lang w:val="en-US"/>
        </w:rPr>
        <w:t xml:space="preserve">godine je za </w:t>
      </w:r>
      <w:r w:rsidR="00B35E4F">
        <w:rPr>
          <w:rFonts w:ascii="Calibri" w:hAnsi="Calibri" w:cs="Calibri"/>
          <w:lang w:val="en-US"/>
        </w:rPr>
        <w:t>8</w:t>
      </w:r>
      <w:proofErr w:type="gramStart"/>
      <w:r w:rsidR="007D4877">
        <w:rPr>
          <w:rFonts w:ascii="Calibri" w:hAnsi="Calibri" w:cs="Calibri"/>
          <w:lang w:val="en-US"/>
        </w:rPr>
        <w:t>,</w:t>
      </w:r>
      <w:r w:rsidR="00B35E4F">
        <w:rPr>
          <w:rFonts w:ascii="Calibri" w:hAnsi="Calibri" w:cs="Calibri"/>
          <w:lang w:val="en-US"/>
        </w:rPr>
        <w:t>7</w:t>
      </w:r>
      <w:r w:rsidR="004F6C14">
        <w:rPr>
          <w:rFonts w:ascii="Calibri" w:hAnsi="Calibri" w:cs="Calibri"/>
          <w:lang w:val="en-US"/>
        </w:rPr>
        <w:t>1</w:t>
      </w:r>
      <w:proofErr w:type="gramEnd"/>
      <w:r w:rsidR="00E96181">
        <w:rPr>
          <w:rFonts w:ascii="Calibri" w:hAnsi="Calibri" w:cs="Calibri"/>
          <w:lang w:val="en-US"/>
        </w:rPr>
        <w:t xml:space="preserve"> </w:t>
      </w:r>
      <w:r w:rsidR="007D4877">
        <w:rPr>
          <w:rFonts w:ascii="Calibri" w:hAnsi="Calibri" w:cs="Calibri"/>
          <w:lang w:val="en-US"/>
        </w:rPr>
        <w:t xml:space="preserve">% </w:t>
      </w:r>
      <w:r w:rsidR="004F6C14">
        <w:rPr>
          <w:rFonts w:ascii="Calibri" w:hAnsi="Calibri" w:cs="Calibri"/>
          <w:lang w:val="en-US"/>
        </w:rPr>
        <w:t>manji</w:t>
      </w:r>
      <w:r w:rsidR="00CD0EB2">
        <w:rPr>
          <w:rFonts w:ascii="Calibri" w:hAnsi="Calibri" w:cs="Calibri"/>
          <w:lang w:val="en-US"/>
        </w:rPr>
        <w:t xml:space="preserve"> u odnosu na </w:t>
      </w:r>
      <w:r w:rsidR="004F6C14">
        <w:rPr>
          <w:rFonts w:ascii="Calibri" w:hAnsi="Calibri" w:cs="Calibri"/>
          <w:lang w:val="en-US"/>
        </w:rPr>
        <w:t>početak godine, što je rezultat isplate udjela vlasnicima te njihovog brisanja iz registra</w:t>
      </w:r>
      <w:r>
        <w:rPr>
          <w:rFonts w:ascii="Calibri" w:hAnsi="Calibri" w:cs="Calibri"/>
          <w:lang w:val="en-US"/>
        </w:rPr>
        <w:t>.</w:t>
      </w:r>
    </w:p>
    <w:p w:rsidR="00843B39" w:rsidRDefault="00506507" w:rsidP="001F069A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r w:rsidR="001F069A" w:rsidRPr="00A21829">
        <w:rPr>
          <w:rFonts w:ascii="Calibri" w:hAnsi="Calibri" w:cs="Calibri"/>
          <w:lang w:val="en-US"/>
        </w:rPr>
        <w:t>Vrijednost neto imovine po udjelu na dan 3</w:t>
      </w:r>
      <w:r w:rsidR="004F6C14">
        <w:rPr>
          <w:rFonts w:ascii="Calibri" w:hAnsi="Calibri" w:cs="Calibri"/>
          <w:lang w:val="en-US"/>
        </w:rPr>
        <w:t>0</w:t>
      </w:r>
      <w:r w:rsidR="001F069A" w:rsidRPr="00A21829">
        <w:rPr>
          <w:rFonts w:ascii="Calibri" w:hAnsi="Calibri" w:cs="Calibri"/>
          <w:lang w:val="en-US"/>
        </w:rPr>
        <w:t>.</w:t>
      </w:r>
      <w:r w:rsidR="004F6C14">
        <w:rPr>
          <w:rFonts w:ascii="Calibri" w:hAnsi="Calibri" w:cs="Calibri"/>
          <w:lang w:val="en-US"/>
        </w:rPr>
        <w:t>06.2022</w:t>
      </w:r>
      <w:r w:rsidR="007457BA">
        <w:rPr>
          <w:rFonts w:ascii="Calibri" w:hAnsi="Calibri" w:cs="Calibri"/>
          <w:lang w:val="en-US"/>
        </w:rPr>
        <w:t>.</w:t>
      </w:r>
      <w:r w:rsidR="00CA7334">
        <w:rPr>
          <w:rFonts w:ascii="Calibri" w:hAnsi="Calibri" w:cs="Calibri"/>
          <w:lang w:val="en-US"/>
        </w:rPr>
        <w:t>godine</w:t>
      </w:r>
      <w:r w:rsidR="001F069A" w:rsidRPr="00A21829">
        <w:rPr>
          <w:rFonts w:ascii="Calibri" w:hAnsi="Calibri" w:cs="Calibri"/>
          <w:lang w:val="en-US"/>
        </w:rPr>
        <w:t xml:space="preserve"> iznosila je </w:t>
      </w:r>
      <w:r w:rsidR="004F6C14">
        <w:rPr>
          <w:rFonts w:ascii="Calibri" w:hAnsi="Calibri" w:cs="Calibri"/>
          <w:lang w:val="en-US"/>
        </w:rPr>
        <w:t>6</w:t>
      </w:r>
      <w:proofErr w:type="gramStart"/>
      <w:r w:rsidR="00B35E4F">
        <w:rPr>
          <w:rFonts w:ascii="Calibri" w:hAnsi="Calibri" w:cs="Calibri"/>
          <w:lang w:val="en-US"/>
        </w:rPr>
        <w:t>,</w:t>
      </w:r>
      <w:r w:rsidR="004F6C14">
        <w:rPr>
          <w:rFonts w:ascii="Calibri" w:hAnsi="Calibri" w:cs="Calibri"/>
          <w:lang w:val="en-US"/>
        </w:rPr>
        <w:t>0598</w:t>
      </w:r>
      <w:proofErr w:type="gramEnd"/>
      <w:r>
        <w:rPr>
          <w:rFonts w:ascii="Calibri" w:hAnsi="Calibri" w:cs="Calibri"/>
          <w:lang w:val="en-US"/>
        </w:rPr>
        <w:t xml:space="preserve"> </w:t>
      </w:r>
      <w:r w:rsidR="00645C4A">
        <w:rPr>
          <w:rFonts w:ascii="Calibri" w:hAnsi="Calibri" w:cs="Calibri"/>
          <w:lang w:val="en-US"/>
        </w:rPr>
        <w:t>KM</w:t>
      </w:r>
      <w:r w:rsidR="001F069A" w:rsidRPr="00A21829">
        <w:rPr>
          <w:rFonts w:ascii="Calibri" w:hAnsi="Calibri" w:cs="Calibri"/>
          <w:lang w:val="en-US"/>
        </w:rPr>
        <w:t xml:space="preserve"> i za </w:t>
      </w:r>
      <w:r w:rsidR="004F6C14">
        <w:rPr>
          <w:rFonts w:ascii="Calibri" w:hAnsi="Calibri" w:cs="Calibri"/>
          <w:lang w:val="en-US"/>
        </w:rPr>
        <w:t>1</w:t>
      </w:r>
      <w:r w:rsidR="00B35E4F">
        <w:rPr>
          <w:rFonts w:ascii="Calibri" w:hAnsi="Calibri" w:cs="Calibri"/>
          <w:lang w:val="en-US"/>
        </w:rPr>
        <w:t>7,</w:t>
      </w:r>
      <w:r w:rsidR="004F6C14">
        <w:rPr>
          <w:rFonts w:ascii="Calibri" w:hAnsi="Calibri" w:cs="Calibri"/>
          <w:lang w:val="en-US"/>
        </w:rPr>
        <w:t>99</w:t>
      </w:r>
      <w:r w:rsidR="001F069A" w:rsidRPr="00A21829">
        <w:rPr>
          <w:rFonts w:ascii="Calibri" w:hAnsi="Calibri" w:cs="Calibri"/>
          <w:lang w:val="en-US"/>
        </w:rPr>
        <w:t xml:space="preserve">% je </w:t>
      </w:r>
      <w:r>
        <w:rPr>
          <w:rFonts w:ascii="Calibri" w:hAnsi="Calibri" w:cs="Calibri"/>
          <w:lang w:val="en-US"/>
        </w:rPr>
        <w:t>veća</w:t>
      </w:r>
      <w:r w:rsidR="001F069A" w:rsidRPr="00A21829">
        <w:rPr>
          <w:rFonts w:ascii="Calibri" w:hAnsi="Calibri" w:cs="Calibri"/>
          <w:lang w:val="en-US"/>
        </w:rPr>
        <w:t xml:space="preserve"> u odnosu na </w:t>
      </w:r>
      <w:r w:rsidR="00843B39">
        <w:rPr>
          <w:rFonts w:ascii="Calibri" w:hAnsi="Calibri" w:cs="Calibri"/>
          <w:lang w:val="en-US"/>
        </w:rPr>
        <w:t>31</w:t>
      </w:r>
      <w:r w:rsidR="001F069A" w:rsidRPr="00A21829">
        <w:rPr>
          <w:rFonts w:ascii="Calibri" w:hAnsi="Calibri" w:cs="Calibri"/>
          <w:lang w:val="en-US"/>
        </w:rPr>
        <w:t>.</w:t>
      </w:r>
      <w:r w:rsidR="00843B39">
        <w:rPr>
          <w:rFonts w:ascii="Calibri" w:hAnsi="Calibri" w:cs="Calibri"/>
          <w:lang w:val="en-US"/>
        </w:rPr>
        <w:t>12</w:t>
      </w:r>
      <w:r w:rsidR="00CD0EB2">
        <w:rPr>
          <w:rFonts w:ascii="Calibri" w:hAnsi="Calibri" w:cs="Calibri"/>
          <w:lang w:val="en-US"/>
        </w:rPr>
        <w:t>.202</w:t>
      </w:r>
      <w:r w:rsidR="004F6C14">
        <w:rPr>
          <w:rFonts w:ascii="Calibri" w:hAnsi="Calibri" w:cs="Calibri"/>
          <w:lang w:val="en-US"/>
        </w:rPr>
        <w:t>1</w:t>
      </w:r>
      <w:r w:rsidR="00843B39">
        <w:rPr>
          <w:rFonts w:ascii="Calibri" w:hAnsi="Calibri" w:cs="Calibri"/>
          <w:lang w:val="en-US"/>
        </w:rPr>
        <w:t>.</w:t>
      </w:r>
      <w:r w:rsidR="001F069A" w:rsidRPr="00A21829">
        <w:rPr>
          <w:rFonts w:ascii="Calibri" w:hAnsi="Calibri" w:cs="Calibri"/>
          <w:lang w:val="en-US"/>
        </w:rPr>
        <w:t xml:space="preserve">godine. </w:t>
      </w:r>
    </w:p>
    <w:p w:rsidR="00843B39" w:rsidRDefault="00843B39" w:rsidP="001F069A">
      <w:pPr>
        <w:jc w:val="both"/>
        <w:rPr>
          <w:rFonts w:ascii="Calibri" w:hAnsi="Calibri" w:cs="Calibri"/>
          <w:lang w:val="en-US"/>
        </w:rPr>
      </w:pPr>
    </w:p>
    <w:p w:rsidR="00930DFE" w:rsidRPr="00A21829" w:rsidRDefault="00930DFE">
      <w:pPr>
        <w:rPr>
          <w:rFonts w:ascii="Calibri" w:hAnsi="Calibri" w:cs="Calibri"/>
        </w:rPr>
      </w:pPr>
    </w:p>
    <w:p w:rsidR="00930DFE" w:rsidRDefault="00930DFE">
      <w:pPr>
        <w:rPr>
          <w:rFonts w:ascii="Calibri" w:hAnsi="Calibri" w:cs="Calibri"/>
        </w:rPr>
      </w:pPr>
    </w:p>
    <w:p w:rsidR="00E542C5" w:rsidRDefault="00E542C5">
      <w:pPr>
        <w:rPr>
          <w:rFonts w:ascii="Calibri" w:hAnsi="Calibri" w:cs="Calibri"/>
        </w:rPr>
      </w:pPr>
    </w:p>
    <w:p w:rsidR="00E542C5" w:rsidRPr="00686446" w:rsidRDefault="00E542C5">
      <w:pPr>
        <w:rPr>
          <w:rFonts w:ascii="Calibri" w:hAnsi="Calibri" w:cs="Calibri"/>
        </w:rPr>
      </w:pPr>
    </w:p>
    <w:p w:rsidR="00E15C67" w:rsidRPr="00686446" w:rsidRDefault="0072326B" w:rsidP="009C3C18">
      <w:pPr>
        <w:jc w:val="right"/>
        <w:rPr>
          <w:rFonts w:ascii="Calibri" w:hAnsi="Calibri" w:cs="Calibri"/>
        </w:rPr>
      </w:pPr>
      <w:r w:rsidRPr="00686446">
        <w:rPr>
          <w:rFonts w:ascii="Calibri" w:hAnsi="Calibri" w:cs="Calibri"/>
        </w:rPr>
        <w:t xml:space="preserve">Banja Luka, </w:t>
      </w:r>
      <w:r w:rsidR="00A13979">
        <w:rPr>
          <w:rFonts w:ascii="Calibri" w:hAnsi="Calibri" w:cs="Calibri"/>
        </w:rPr>
        <w:t>jul</w:t>
      </w:r>
      <w:r w:rsidR="00D84F82" w:rsidRPr="00686446">
        <w:rPr>
          <w:rFonts w:ascii="Calibri" w:hAnsi="Calibri" w:cs="Calibri"/>
        </w:rPr>
        <w:t xml:space="preserve"> 20</w:t>
      </w:r>
      <w:r w:rsidR="00CD0EB2">
        <w:rPr>
          <w:rFonts w:ascii="Calibri" w:hAnsi="Calibri" w:cs="Calibri"/>
        </w:rPr>
        <w:t>2</w:t>
      </w:r>
      <w:r w:rsidR="00A13979">
        <w:rPr>
          <w:rFonts w:ascii="Calibri" w:hAnsi="Calibri" w:cs="Calibri"/>
        </w:rPr>
        <w:t>2</w:t>
      </w:r>
      <w:r w:rsidR="00831961" w:rsidRPr="00686446">
        <w:rPr>
          <w:rFonts w:ascii="Calibri" w:hAnsi="Calibri" w:cs="Calibri"/>
        </w:rPr>
        <w:t>.</w:t>
      </w:r>
      <w:r w:rsidR="00750C1D" w:rsidRPr="00686446">
        <w:rPr>
          <w:rFonts w:ascii="Calibri" w:hAnsi="Calibri" w:cs="Calibri"/>
        </w:rPr>
        <w:t>godin</w:t>
      </w:r>
      <w:r w:rsidR="00487003" w:rsidRPr="00686446">
        <w:rPr>
          <w:rFonts w:ascii="Calibri" w:hAnsi="Calibri" w:cs="Calibri"/>
        </w:rPr>
        <w:t>e</w:t>
      </w:r>
      <w:r w:rsidR="00831961" w:rsidRPr="00686446">
        <w:rPr>
          <w:rFonts w:ascii="Calibri" w:hAnsi="Calibri" w:cs="Calibri"/>
        </w:rPr>
        <w:t xml:space="preserve">                                                </w:t>
      </w:r>
      <w:r w:rsidR="006E22F2" w:rsidRPr="00686446">
        <w:rPr>
          <w:rFonts w:ascii="Calibri" w:hAnsi="Calibri" w:cs="Calibri"/>
        </w:rPr>
        <w:t xml:space="preserve">   </w:t>
      </w:r>
      <w:r w:rsidR="00750C1D" w:rsidRPr="00686446">
        <w:rPr>
          <w:rFonts w:ascii="Calibri" w:hAnsi="Calibri" w:cs="Calibri"/>
        </w:rPr>
        <w:t xml:space="preserve">          </w:t>
      </w:r>
      <w:r w:rsidR="0004515D" w:rsidRPr="00686446">
        <w:rPr>
          <w:rFonts w:ascii="Calibri" w:hAnsi="Calibri" w:cs="Calibri"/>
        </w:rPr>
        <w:t xml:space="preserve"> </w:t>
      </w:r>
      <w:r w:rsidR="00E15C67" w:rsidRPr="00686446">
        <w:rPr>
          <w:rFonts w:ascii="Calibri" w:hAnsi="Calibri" w:cs="Calibri"/>
        </w:rPr>
        <w:t xml:space="preserve">  </w:t>
      </w:r>
    </w:p>
    <w:p w:rsidR="00E15C67" w:rsidRPr="00686446" w:rsidRDefault="00E15C67">
      <w:pPr>
        <w:rPr>
          <w:rFonts w:ascii="Calibri" w:hAnsi="Calibri" w:cs="Calibri"/>
        </w:rPr>
      </w:pPr>
    </w:p>
    <w:p w:rsidR="00E15C67" w:rsidRDefault="00E15C67">
      <w:pPr>
        <w:rPr>
          <w:rFonts w:ascii="Calibri" w:hAnsi="Calibri" w:cs="Calibri"/>
        </w:rPr>
      </w:pPr>
    </w:p>
    <w:p w:rsidR="007F7C34" w:rsidRDefault="007F7C34">
      <w:pPr>
        <w:rPr>
          <w:rFonts w:ascii="Calibri" w:hAnsi="Calibri" w:cs="Calibri"/>
        </w:rPr>
      </w:pPr>
    </w:p>
    <w:p w:rsidR="00930DFE" w:rsidRPr="00686446" w:rsidRDefault="00930DFE">
      <w:pPr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Izvršni direktori:</w:t>
      </w:r>
    </w:p>
    <w:p w:rsidR="007F7C34" w:rsidRPr="00006F10" w:rsidRDefault="007F7C34" w:rsidP="007F7C34">
      <w:pPr>
        <w:jc w:val="center"/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_______________        ______________</w:t>
      </w:r>
    </w:p>
    <w:p w:rsidR="009C4756" w:rsidRPr="00686446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Nenad Tomović             Goran Klincov</w:t>
      </w:r>
    </w:p>
    <w:sectPr w:rsidR="009C4756" w:rsidRPr="00686446" w:rsidSect="00E3031B"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96" w:rsidRDefault="00D66696" w:rsidP="00746C85">
      <w:r>
        <w:separator/>
      </w:r>
    </w:p>
  </w:endnote>
  <w:endnote w:type="continuationSeparator" w:id="0">
    <w:p w:rsidR="00D66696" w:rsidRDefault="00D66696" w:rsidP="007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7B" w:rsidRDefault="0055577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7641">
      <w:rPr>
        <w:noProof/>
      </w:rPr>
      <w:t>8</w:t>
    </w:r>
    <w:r>
      <w:rPr>
        <w:noProof/>
      </w:rPr>
      <w:fldChar w:fldCharType="end"/>
    </w:r>
  </w:p>
  <w:p w:rsidR="0055577B" w:rsidRDefault="00555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96" w:rsidRDefault="00D66696" w:rsidP="00746C85">
      <w:r>
        <w:separator/>
      </w:r>
    </w:p>
  </w:footnote>
  <w:footnote w:type="continuationSeparator" w:id="0">
    <w:p w:rsidR="00D66696" w:rsidRDefault="00D66696" w:rsidP="0074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E15"/>
    <w:multiLevelType w:val="hybridMultilevel"/>
    <w:tmpl w:val="C8EED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31302"/>
    <w:multiLevelType w:val="hybridMultilevel"/>
    <w:tmpl w:val="DDF47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9D5CA2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5964362"/>
    <w:multiLevelType w:val="hybridMultilevel"/>
    <w:tmpl w:val="ED36CD62"/>
    <w:lvl w:ilvl="0" w:tplc="21DC51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E48CB"/>
    <w:multiLevelType w:val="hybridMultilevel"/>
    <w:tmpl w:val="6EE016AE"/>
    <w:lvl w:ilvl="0" w:tplc="AE0E00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160B7"/>
    <w:multiLevelType w:val="hybridMultilevel"/>
    <w:tmpl w:val="9576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33D6A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8E0FCF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6D7557"/>
    <w:multiLevelType w:val="hybridMultilevel"/>
    <w:tmpl w:val="B6D23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EB4A95"/>
    <w:multiLevelType w:val="hybridMultilevel"/>
    <w:tmpl w:val="DA162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1D5F3A"/>
    <w:multiLevelType w:val="hybridMultilevel"/>
    <w:tmpl w:val="1F683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355477"/>
    <w:multiLevelType w:val="hybridMultilevel"/>
    <w:tmpl w:val="55AAE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64"/>
    <w:rsid w:val="00000582"/>
    <w:rsid w:val="000012B2"/>
    <w:rsid w:val="00001AA4"/>
    <w:rsid w:val="00007753"/>
    <w:rsid w:val="000119D5"/>
    <w:rsid w:val="0001253D"/>
    <w:rsid w:val="00014E52"/>
    <w:rsid w:val="000156E7"/>
    <w:rsid w:val="0002226C"/>
    <w:rsid w:val="0002359E"/>
    <w:rsid w:val="00026D41"/>
    <w:rsid w:val="00035339"/>
    <w:rsid w:val="0003783B"/>
    <w:rsid w:val="00041289"/>
    <w:rsid w:val="000413EB"/>
    <w:rsid w:val="000433C4"/>
    <w:rsid w:val="0004458C"/>
    <w:rsid w:val="0004515D"/>
    <w:rsid w:val="00047641"/>
    <w:rsid w:val="00073FFA"/>
    <w:rsid w:val="00076CA7"/>
    <w:rsid w:val="00077C16"/>
    <w:rsid w:val="00083AC2"/>
    <w:rsid w:val="00085F43"/>
    <w:rsid w:val="0008793E"/>
    <w:rsid w:val="00094884"/>
    <w:rsid w:val="00094C1F"/>
    <w:rsid w:val="00094D34"/>
    <w:rsid w:val="00096495"/>
    <w:rsid w:val="000A7521"/>
    <w:rsid w:val="000B14A6"/>
    <w:rsid w:val="000B1628"/>
    <w:rsid w:val="000B1C1C"/>
    <w:rsid w:val="000B1C87"/>
    <w:rsid w:val="000B377F"/>
    <w:rsid w:val="000B4438"/>
    <w:rsid w:val="000B4B2D"/>
    <w:rsid w:val="000D01D7"/>
    <w:rsid w:val="000D2CE0"/>
    <w:rsid w:val="000D32BC"/>
    <w:rsid w:val="000D5F64"/>
    <w:rsid w:val="000D7481"/>
    <w:rsid w:val="000E6DEA"/>
    <w:rsid w:val="000F75D5"/>
    <w:rsid w:val="0010227A"/>
    <w:rsid w:val="00103B33"/>
    <w:rsid w:val="001107DD"/>
    <w:rsid w:val="0011425F"/>
    <w:rsid w:val="00114493"/>
    <w:rsid w:val="00116AAA"/>
    <w:rsid w:val="0012442B"/>
    <w:rsid w:val="0012483D"/>
    <w:rsid w:val="0012493E"/>
    <w:rsid w:val="001264AB"/>
    <w:rsid w:val="00127BEE"/>
    <w:rsid w:val="0013426F"/>
    <w:rsid w:val="00135D4D"/>
    <w:rsid w:val="00136E8B"/>
    <w:rsid w:val="00137DC4"/>
    <w:rsid w:val="00141D2A"/>
    <w:rsid w:val="00145C28"/>
    <w:rsid w:val="00146DB1"/>
    <w:rsid w:val="00150CFC"/>
    <w:rsid w:val="00151ECD"/>
    <w:rsid w:val="00156445"/>
    <w:rsid w:val="00160A00"/>
    <w:rsid w:val="00166CD5"/>
    <w:rsid w:val="001720C0"/>
    <w:rsid w:val="0017516A"/>
    <w:rsid w:val="00176160"/>
    <w:rsid w:val="00181048"/>
    <w:rsid w:val="00183F19"/>
    <w:rsid w:val="00193005"/>
    <w:rsid w:val="001A2194"/>
    <w:rsid w:val="001A27EE"/>
    <w:rsid w:val="001A3B71"/>
    <w:rsid w:val="001A417A"/>
    <w:rsid w:val="001B3D94"/>
    <w:rsid w:val="001C35B9"/>
    <w:rsid w:val="001C480D"/>
    <w:rsid w:val="001D772D"/>
    <w:rsid w:val="001E2161"/>
    <w:rsid w:val="001F069A"/>
    <w:rsid w:val="001F2861"/>
    <w:rsid w:val="00200364"/>
    <w:rsid w:val="00201CDD"/>
    <w:rsid w:val="002024FD"/>
    <w:rsid w:val="002032CC"/>
    <w:rsid w:val="00204164"/>
    <w:rsid w:val="00212A0E"/>
    <w:rsid w:val="00213647"/>
    <w:rsid w:val="0021406F"/>
    <w:rsid w:val="00214338"/>
    <w:rsid w:val="00214C40"/>
    <w:rsid w:val="00225DC7"/>
    <w:rsid w:val="0022716B"/>
    <w:rsid w:val="00230824"/>
    <w:rsid w:val="002310FE"/>
    <w:rsid w:val="0023191E"/>
    <w:rsid w:val="002337E6"/>
    <w:rsid w:val="00235924"/>
    <w:rsid w:val="00236461"/>
    <w:rsid w:val="00236FB5"/>
    <w:rsid w:val="00240B77"/>
    <w:rsid w:val="00244701"/>
    <w:rsid w:val="00247A06"/>
    <w:rsid w:val="00250738"/>
    <w:rsid w:val="002521A2"/>
    <w:rsid w:val="00252D06"/>
    <w:rsid w:val="0025520B"/>
    <w:rsid w:val="00260775"/>
    <w:rsid w:val="002616A4"/>
    <w:rsid w:val="00263576"/>
    <w:rsid w:val="00264BFA"/>
    <w:rsid w:val="00276C03"/>
    <w:rsid w:val="00291386"/>
    <w:rsid w:val="00292FAE"/>
    <w:rsid w:val="00294330"/>
    <w:rsid w:val="002944A9"/>
    <w:rsid w:val="002954D1"/>
    <w:rsid w:val="00295875"/>
    <w:rsid w:val="00297060"/>
    <w:rsid w:val="002A06DC"/>
    <w:rsid w:val="002A12A1"/>
    <w:rsid w:val="002A321C"/>
    <w:rsid w:val="002A469C"/>
    <w:rsid w:val="002A718E"/>
    <w:rsid w:val="002A7FD2"/>
    <w:rsid w:val="002B2E70"/>
    <w:rsid w:val="002B3605"/>
    <w:rsid w:val="002B57E0"/>
    <w:rsid w:val="002C6334"/>
    <w:rsid w:val="002D25BB"/>
    <w:rsid w:val="002D3102"/>
    <w:rsid w:val="002D3CF6"/>
    <w:rsid w:val="002E7E4E"/>
    <w:rsid w:val="002F02A4"/>
    <w:rsid w:val="002F045C"/>
    <w:rsid w:val="002F49EC"/>
    <w:rsid w:val="002F59C5"/>
    <w:rsid w:val="002F6F97"/>
    <w:rsid w:val="002F717F"/>
    <w:rsid w:val="00301296"/>
    <w:rsid w:val="003035D6"/>
    <w:rsid w:val="00304228"/>
    <w:rsid w:val="00304A1B"/>
    <w:rsid w:val="00304E1B"/>
    <w:rsid w:val="00306CE7"/>
    <w:rsid w:val="00315B97"/>
    <w:rsid w:val="00323F5D"/>
    <w:rsid w:val="003240A5"/>
    <w:rsid w:val="00334859"/>
    <w:rsid w:val="0034280D"/>
    <w:rsid w:val="003449DA"/>
    <w:rsid w:val="003456AE"/>
    <w:rsid w:val="003472E6"/>
    <w:rsid w:val="00352B5A"/>
    <w:rsid w:val="00353C2E"/>
    <w:rsid w:val="0035497D"/>
    <w:rsid w:val="0036113B"/>
    <w:rsid w:val="0036204E"/>
    <w:rsid w:val="00362593"/>
    <w:rsid w:val="00365A5B"/>
    <w:rsid w:val="003664CD"/>
    <w:rsid w:val="0036780F"/>
    <w:rsid w:val="00367D14"/>
    <w:rsid w:val="00374775"/>
    <w:rsid w:val="00380D53"/>
    <w:rsid w:val="003816CC"/>
    <w:rsid w:val="0038200C"/>
    <w:rsid w:val="003872E3"/>
    <w:rsid w:val="00387A2B"/>
    <w:rsid w:val="00390125"/>
    <w:rsid w:val="00390B1D"/>
    <w:rsid w:val="003952BD"/>
    <w:rsid w:val="00396B7F"/>
    <w:rsid w:val="003A1426"/>
    <w:rsid w:val="003A1B0D"/>
    <w:rsid w:val="003A5AAE"/>
    <w:rsid w:val="003B0E29"/>
    <w:rsid w:val="003B22DC"/>
    <w:rsid w:val="003B4624"/>
    <w:rsid w:val="003B627E"/>
    <w:rsid w:val="003C08E6"/>
    <w:rsid w:val="003C0D88"/>
    <w:rsid w:val="003C37B6"/>
    <w:rsid w:val="003C5019"/>
    <w:rsid w:val="003D011A"/>
    <w:rsid w:val="003D0F17"/>
    <w:rsid w:val="003D5267"/>
    <w:rsid w:val="003D5D54"/>
    <w:rsid w:val="003E1322"/>
    <w:rsid w:val="003E285E"/>
    <w:rsid w:val="003F2684"/>
    <w:rsid w:val="003F57A5"/>
    <w:rsid w:val="003F62A9"/>
    <w:rsid w:val="0040444C"/>
    <w:rsid w:val="00404EA7"/>
    <w:rsid w:val="00415C7F"/>
    <w:rsid w:val="00424573"/>
    <w:rsid w:val="0042459A"/>
    <w:rsid w:val="0043418C"/>
    <w:rsid w:val="00434586"/>
    <w:rsid w:val="00442D3A"/>
    <w:rsid w:val="004432F5"/>
    <w:rsid w:val="00445B19"/>
    <w:rsid w:val="00446301"/>
    <w:rsid w:val="004463C8"/>
    <w:rsid w:val="00446A23"/>
    <w:rsid w:val="00450165"/>
    <w:rsid w:val="00453098"/>
    <w:rsid w:val="004555DF"/>
    <w:rsid w:val="004645B2"/>
    <w:rsid w:val="00464C3F"/>
    <w:rsid w:val="00464EBB"/>
    <w:rsid w:val="00467F22"/>
    <w:rsid w:val="004706EB"/>
    <w:rsid w:val="00473739"/>
    <w:rsid w:val="00475E6E"/>
    <w:rsid w:val="00476EC7"/>
    <w:rsid w:val="00480521"/>
    <w:rsid w:val="00480B0A"/>
    <w:rsid w:val="00487003"/>
    <w:rsid w:val="004945BC"/>
    <w:rsid w:val="004978F7"/>
    <w:rsid w:val="004A2F4C"/>
    <w:rsid w:val="004A53FD"/>
    <w:rsid w:val="004B2DCC"/>
    <w:rsid w:val="004B35EE"/>
    <w:rsid w:val="004B52A9"/>
    <w:rsid w:val="004B52D9"/>
    <w:rsid w:val="004C1E16"/>
    <w:rsid w:val="004C1E67"/>
    <w:rsid w:val="004C3C6D"/>
    <w:rsid w:val="004C46E7"/>
    <w:rsid w:val="004C5B89"/>
    <w:rsid w:val="004D339D"/>
    <w:rsid w:val="004E0455"/>
    <w:rsid w:val="004E0C19"/>
    <w:rsid w:val="004E48AD"/>
    <w:rsid w:val="004E4AAD"/>
    <w:rsid w:val="004E55F0"/>
    <w:rsid w:val="004E5661"/>
    <w:rsid w:val="004F12DD"/>
    <w:rsid w:val="004F1B1A"/>
    <w:rsid w:val="004F2F59"/>
    <w:rsid w:val="004F3A5F"/>
    <w:rsid w:val="004F5A2D"/>
    <w:rsid w:val="004F6C14"/>
    <w:rsid w:val="00503C51"/>
    <w:rsid w:val="00505338"/>
    <w:rsid w:val="00506507"/>
    <w:rsid w:val="00507F92"/>
    <w:rsid w:val="00510BA3"/>
    <w:rsid w:val="00511192"/>
    <w:rsid w:val="005217BC"/>
    <w:rsid w:val="00522CD5"/>
    <w:rsid w:val="00523573"/>
    <w:rsid w:val="005238BB"/>
    <w:rsid w:val="00542247"/>
    <w:rsid w:val="005444F8"/>
    <w:rsid w:val="00544F16"/>
    <w:rsid w:val="00546CBE"/>
    <w:rsid w:val="00552A45"/>
    <w:rsid w:val="005543F1"/>
    <w:rsid w:val="0055577B"/>
    <w:rsid w:val="005625A7"/>
    <w:rsid w:val="00564479"/>
    <w:rsid w:val="00564F09"/>
    <w:rsid w:val="00565281"/>
    <w:rsid w:val="00566899"/>
    <w:rsid w:val="00566B37"/>
    <w:rsid w:val="00567CC1"/>
    <w:rsid w:val="00575431"/>
    <w:rsid w:val="00576D06"/>
    <w:rsid w:val="00577F5F"/>
    <w:rsid w:val="00581C16"/>
    <w:rsid w:val="005833C3"/>
    <w:rsid w:val="005854A6"/>
    <w:rsid w:val="00590F85"/>
    <w:rsid w:val="005948A7"/>
    <w:rsid w:val="005A0B98"/>
    <w:rsid w:val="005A1EAB"/>
    <w:rsid w:val="005A4E76"/>
    <w:rsid w:val="005A4F7A"/>
    <w:rsid w:val="005B04B1"/>
    <w:rsid w:val="005B0C58"/>
    <w:rsid w:val="005B2DDF"/>
    <w:rsid w:val="005B425F"/>
    <w:rsid w:val="005B6127"/>
    <w:rsid w:val="005B67A2"/>
    <w:rsid w:val="005C1B45"/>
    <w:rsid w:val="005C2ABC"/>
    <w:rsid w:val="005D5469"/>
    <w:rsid w:val="005D6492"/>
    <w:rsid w:val="005D6776"/>
    <w:rsid w:val="005E0E98"/>
    <w:rsid w:val="005E1420"/>
    <w:rsid w:val="005E1683"/>
    <w:rsid w:val="005E48F0"/>
    <w:rsid w:val="005E4C5F"/>
    <w:rsid w:val="005E56AA"/>
    <w:rsid w:val="005F08D6"/>
    <w:rsid w:val="005F2682"/>
    <w:rsid w:val="00600005"/>
    <w:rsid w:val="00600279"/>
    <w:rsid w:val="00602DE6"/>
    <w:rsid w:val="006108A3"/>
    <w:rsid w:val="006109E8"/>
    <w:rsid w:val="00610D69"/>
    <w:rsid w:val="006122C6"/>
    <w:rsid w:val="0061682F"/>
    <w:rsid w:val="00623434"/>
    <w:rsid w:val="00624018"/>
    <w:rsid w:val="0064589D"/>
    <w:rsid w:val="00645C4A"/>
    <w:rsid w:val="00645F2D"/>
    <w:rsid w:val="0064636B"/>
    <w:rsid w:val="00646C6F"/>
    <w:rsid w:val="0065359E"/>
    <w:rsid w:val="00660D43"/>
    <w:rsid w:val="00663680"/>
    <w:rsid w:val="00665CBA"/>
    <w:rsid w:val="00671BC9"/>
    <w:rsid w:val="00671FAE"/>
    <w:rsid w:val="00674C56"/>
    <w:rsid w:val="00677368"/>
    <w:rsid w:val="00684FC2"/>
    <w:rsid w:val="006851C0"/>
    <w:rsid w:val="006861C2"/>
    <w:rsid w:val="0068641A"/>
    <w:rsid w:val="00686446"/>
    <w:rsid w:val="00686543"/>
    <w:rsid w:val="00696F3D"/>
    <w:rsid w:val="006A1F8D"/>
    <w:rsid w:val="006A35A7"/>
    <w:rsid w:val="006A4D7F"/>
    <w:rsid w:val="006B08A2"/>
    <w:rsid w:val="006B6883"/>
    <w:rsid w:val="006B6938"/>
    <w:rsid w:val="006C351C"/>
    <w:rsid w:val="006C79CB"/>
    <w:rsid w:val="006D3FB9"/>
    <w:rsid w:val="006D490A"/>
    <w:rsid w:val="006E036A"/>
    <w:rsid w:val="006E05E3"/>
    <w:rsid w:val="006E22F2"/>
    <w:rsid w:val="006E239D"/>
    <w:rsid w:val="006E38B6"/>
    <w:rsid w:val="006E5AE3"/>
    <w:rsid w:val="006F0CE6"/>
    <w:rsid w:val="0070133A"/>
    <w:rsid w:val="0070207C"/>
    <w:rsid w:val="00703947"/>
    <w:rsid w:val="00703B64"/>
    <w:rsid w:val="0070406C"/>
    <w:rsid w:val="00705D4F"/>
    <w:rsid w:val="0071072C"/>
    <w:rsid w:val="00711509"/>
    <w:rsid w:val="0071329E"/>
    <w:rsid w:val="00713B26"/>
    <w:rsid w:val="007149BC"/>
    <w:rsid w:val="00721AFB"/>
    <w:rsid w:val="007229E2"/>
    <w:rsid w:val="0072326B"/>
    <w:rsid w:val="0072390A"/>
    <w:rsid w:val="00723AA1"/>
    <w:rsid w:val="00725D4C"/>
    <w:rsid w:val="007355D7"/>
    <w:rsid w:val="00744C37"/>
    <w:rsid w:val="007457BA"/>
    <w:rsid w:val="00746C85"/>
    <w:rsid w:val="00750C1D"/>
    <w:rsid w:val="00750D71"/>
    <w:rsid w:val="00751B24"/>
    <w:rsid w:val="00752609"/>
    <w:rsid w:val="00753ACB"/>
    <w:rsid w:val="00754128"/>
    <w:rsid w:val="00754D7E"/>
    <w:rsid w:val="007564DA"/>
    <w:rsid w:val="00756618"/>
    <w:rsid w:val="007572C8"/>
    <w:rsid w:val="0075761D"/>
    <w:rsid w:val="00757BE1"/>
    <w:rsid w:val="007604D7"/>
    <w:rsid w:val="007629CF"/>
    <w:rsid w:val="00766275"/>
    <w:rsid w:val="00767E5A"/>
    <w:rsid w:val="007735E5"/>
    <w:rsid w:val="00780503"/>
    <w:rsid w:val="00780D83"/>
    <w:rsid w:val="00782545"/>
    <w:rsid w:val="00782C55"/>
    <w:rsid w:val="00784501"/>
    <w:rsid w:val="00784B39"/>
    <w:rsid w:val="007853A2"/>
    <w:rsid w:val="007979C3"/>
    <w:rsid w:val="00797C90"/>
    <w:rsid w:val="007A0D03"/>
    <w:rsid w:val="007A3341"/>
    <w:rsid w:val="007A6AAE"/>
    <w:rsid w:val="007B053E"/>
    <w:rsid w:val="007B55D2"/>
    <w:rsid w:val="007C024E"/>
    <w:rsid w:val="007C19B0"/>
    <w:rsid w:val="007C2FED"/>
    <w:rsid w:val="007C3096"/>
    <w:rsid w:val="007C353F"/>
    <w:rsid w:val="007C3871"/>
    <w:rsid w:val="007C4B1E"/>
    <w:rsid w:val="007C4E58"/>
    <w:rsid w:val="007C54F0"/>
    <w:rsid w:val="007C588E"/>
    <w:rsid w:val="007C7B67"/>
    <w:rsid w:val="007D4877"/>
    <w:rsid w:val="007D54A4"/>
    <w:rsid w:val="007D77B4"/>
    <w:rsid w:val="007E1FA3"/>
    <w:rsid w:val="007E2B4D"/>
    <w:rsid w:val="007E5BB9"/>
    <w:rsid w:val="007F1C60"/>
    <w:rsid w:val="007F447B"/>
    <w:rsid w:val="007F7C34"/>
    <w:rsid w:val="00807876"/>
    <w:rsid w:val="0081129B"/>
    <w:rsid w:val="00814D1E"/>
    <w:rsid w:val="00815C9A"/>
    <w:rsid w:val="008162A0"/>
    <w:rsid w:val="00820A2C"/>
    <w:rsid w:val="00824EE7"/>
    <w:rsid w:val="00827B53"/>
    <w:rsid w:val="00831961"/>
    <w:rsid w:val="0083252F"/>
    <w:rsid w:val="00836A05"/>
    <w:rsid w:val="00836C82"/>
    <w:rsid w:val="00841D63"/>
    <w:rsid w:val="00843B39"/>
    <w:rsid w:val="00850303"/>
    <w:rsid w:val="00850F69"/>
    <w:rsid w:val="00865288"/>
    <w:rsid w:val="00865594"/>
    <w:rsid w:val="00865A53"/>
    <w:rsid w:val="00865AFB"/>
    <w:rsid w:val="00865DD3"/>
    <w:rsid w:val="0086777A"/>
    <w:rsid w:val="00871469"/>
    <w:rsid w:val="008723D1"/>
    <w:rsid w:val="008731FD"/>
    <w:rsid w:val="008768D5"/>
    <w:rsid w:val="00877D58"/>
    <w:rsid w:val="008816A6"/>
    <w:rsid w:val="008821DB"/>
    <w:rsid w:val="008918F9"/>
    <w:rsid w:val="00891A2A"/>
    <w:rsid w:val="008A0094"/>
    <w:rsid w:val="008A30E9"/>
    <w:rsid w:val="008A7386"/>
    <w:rsid w:val="008B04A5"/>
    <w:rsid w:val="008B206D"/>
    <w:rsid w:val="008C2619"/>
    <w:rsid w:val="008C6E52"/>
    <w:rsid w:val="008D2DD6"/>
    <w:rsid w:val="008D4A45"/>
    <w:rsid w:val="008D5052"/>
    <w:rsid w:val="008D5AC7"/>
    <w:rsid w:val="008D738D"/>
    <w:rsid w:val="008D779D"/>
    <w:rsid w:val="008E0166"/>
    <w:rsid w:val="008E0EA9"/>
    <w:rsid w:val="008E308C"/>
    <w:rsid w:val="008E5986"/>
    <w:rsid w:val="008E7D4A"/>
    <w:rsid w:val="008F500A"/>
    <w:rsid w:val="008F6ECA"/>
    <w:rsid w:val="008F771D"/>
    <w:rsid w:val="00901CE5"/>
    <w:rsid w:val="00901F83"/>
    <w:rsid w:val="00902C62"/>
    <w:rsid w:val="00903BB7"/>
    <w:rsid w:val="00907E20"/>
    <w:rsid w:val="00915337"/>
    <w:rsid w:val="00916A5B"/>
    <w:rsid w:val="00921D9C"/>
    <w:rsid w:val="009236DC"/>
    <w:rsid w:val="009304AD"/>
    <w:rsid w:val="00930DFE"/>
    <w:rsid w:val="00935558"/>
    <w:rsid w:val="00935F53"/>
    <w:rsid w:val="00937CB4"/>
    <w:rsid w:val="0094178C"/>
    <w:rsid w:val="00945656"/>
    <w:rsid w:val="00946B85"/>
    <w:rsid w:val="00954D43"/>
    <w:rsid w:val="009556AD"/>
    <w:rsid w:val="00956D45"/>
    <w:rsid w:val="00957FFA"/>
    <w:rsid w:val="009609E6"/>
    <w:rsid w:val="0096438E"/>
    <w:rsid w:val="00964770"/>
    <w:rsid w:val="00966A56"/>
    <w:rsid w:val="00971007"/>
    <w:rsid w:val="00971089"/>
    <w:rsid w:val="00971848"/>
    <w:rsid w:val="00972E8C"/>
    <w:rsid w:val="0097434A"/>
    <w:rsid w:val="00974DE9"/>
    <w:rsid w:val="00974FAE"/>
    <w:rsid w:val="00985192"/>
    <w:rsid w:val="00986498"/>
    <w:rsid w:val="00986EF8"/>
    <w:rsid w:val="009874D7"/>
    <w:rsid w:val="009876F1"/>
    <w:rsid w:val="0099132E"/>
    <w:rsid w:val="0099563D"/>
    <w:rsid w:val="009A0535"/>
    <w:rsid w:val="009A31A4"/>
    <w:rsid w:val="009A6C6D"/>
    <w:rsid w:val="009A7748"/>
    <w:rsid w:val="009B0582"/>
    <w:rsid w:val="009C029B"/>
    <w:rsid w:val="009C058B"/>
    <w:rsid w:val="009C3C18"/>
    <w:rsid w:val="009C4756"/>
    <w:rsid w:val="009C62FA"/>
    <w:rsid w:val="009D0DA4"/>
    <w:rsid w:val="009D0FFB"/>
    <w:rsid w:val="009D113E"/>
    <w:rsid w:val="009D2BFA"/>
    <w:rsid w:val="009D43B4"/>
    <w:rsid w:val="009E00BC"/>
    <w:rsid w:val="009E0B15"/>
    <w:rsid w:val="009E3FF4"/>
    <w:rsid w:val="009F4E9D"/>
    <w:rsid w:val="009F62A9"/>
    <w:rsid w:val="00A00656"/>
    <w:rsid w:val="00A07497"/>
    <w:rsid w:val="00A10449"/>
    <w:rsid w:val="00A13979"/>
    <w:rsid w:val="00A1703B"/>
    <w:rsid w:val="00A21581"/>
    <w:rsid w:val="00A21829"/>
    <w:rsid w:val="00A22DA8"/>
    <w:rsid w:val="00A2555E"/>
    <w:rsid w:val="00A258D0"/>
    <w:rsid w:val="00A277DB"/>
    <w:rsid w:val="00A42668"/>
    <w:rsid w:val="00A44487"/>
    <w:rsid w:val="00A45141"/>
    <w:rsid w:val="00A4596A"/>
    <w:rsid w:val="00A5011D"/>
    <w:rsid w:val="00A53BEB"/>
    <w:rsid w:val="00A615D3"/>
    <w:rsid w:val="00A631A9"/>
    <w:rsid w:val="00A71E5D"/>
    <w:rsid w:val="00A73A9C"/>
    <w:rsid w:val="00A75085"/>
    <w:rsid w:val="00A76B89"/>
    <w:rsid w:val="00A77E9F"/>
    <w:rsid w:val="00A80BFD"/>
    <w:rsid w:val="00A85E47"/>
    <w:rsid w:val="00A9327A"/>
    <w:rsid w:val="00A95532"/>
    <w:rsid w:val="00A964B4"/>
    <w:rsid w:val="00A97E2A"/>
    <w:rsid w:val="00AA2D3D"/>
    <w:rsid w:val="00AA3C62"/>
    <w:rsid w:val="00AA536B"/>
    <w:rsid w:val="00AB16EB"/>
    <w:rsid w:val="00AB1F2D"/>
    <w:rsid w:val="00AC080E"/>
    <w:rsid w:val="00AC28AC"/>
    <w:rsid w:val="00AC6910"/>
    <w:rsid w:val="00AE18B6"/>
    <w:rsid w:val="00AE3062"/>
    <w:rsid w:val="00AE4D36"/>
    <w:rsid w:val="00AE6BCC"/>
    <w:rsid w:val="00AF4912"/>
    <w:rsid w:val="00AF63B4"/>
    <w:rsid w:val="00AF7176"/>
    <w:rsid w:val="00B01C1F"/>
    <w:rsid w:val="00B02E0A"/>
    <w:rsid w:val="00B07ED4"/>
    <w:rsid w:val="00B16B37"/>
    <w:rsid w:val="00B172CA"/>
    <w:rsid w:val="00B23243"/>
    <w:rsid w:val="00B249ED"/>
    <w:rsid w:val="00B27342"/>
    <w:rsid w:val="00B27CFE"/>
    <w:rsid w:val="00B35354"/>
    <w:rsid w:val="00B35E4F"/>
    <w:rsid w:val="00B36877"/>
    <w:rsid w:val="00B411DE"/>
    <w:rsid w:val="00B41652"/>
    <w:rsid w:val="00B55769"/>
    <w:rsid w:val="00B55F88"/>
    <w:rsid w:val="00B57171"/>
    <w:rsid w:val="00B576B9"/>
    <w:rsid w:val="00B621FA"/>
    <w:rsid w:val="00B675E3"/>
    <w:rsid w:val="00B6761D"/>
    <w:rsid w:val="00B67AB8"/>
    <w:rsid w:val="00B74C40"/>
    <w:rsid w:val="00B76392"/>
    <w:rsid w:val="00B82414"/>
    <w:rsid w:val="00B90373"/>
    <w:rsid w:val="00B91AB1"/>
    <w:rsid w:val="00B91F61"/>
    <w:rsid w:val="00B9477C"/>
    <w:rsid w:val="00B952C4"/>
    <w:rsid w:val="00BA0DFD"/>
    <w:rsid w:val="00BA26AA"/>
    <w:rsid w:val="00BA3191"/>
    <w:rsid w:val="00BA63E5"/>
    <w:rsid w:val="00BB0EC3"/>
    <w:rsid w:val="00BB6D80"/>
    <w:rsid w:val="00BD2AF7"/>
    <w:rsid w:val="00BD4024"/>
    <w:rsid w:val="00BD50C9"/>
    <w:rsid w:val="00BD5449"/>
    <w:rsid w:val="00BE26C0"/>
    <w:rsid w:val="00BE443E"/>
    <w:rsid w:val="00BE639E"/>
    <w:rsid w:val="00BF6168"/>
    <w:rsid w:val="00C07F73"/>
    <w:rsid w:val="00C10073"/>
    <w:rsid w:val="00C1028F"/>
    <w:rsid w:val="00C165F9"/>
    <w:rsid w:val="00C1665F"/>
    <w:rsid w:val="00C236D2"/>
    <w:rsid w:val="00C2588F"/>
    <w:rsid w:val="00C25FC9"/>
    <w:rsid w:val="00C26262"/>
    <w:rsid w:val="00C31912"/>
    <w:rsid w:val="00C32A54"/>
    <w:rsid w:val="00C3316F"/>
    <w:rsid w:val="00C36776"/>
    <w:rsid w:val="00C4440C"/>
    <w:rsid w:val="00C45F8A"/>
    <w:rsid w:val="00C50F03"/>
    <w:rsid w:val="00C553B5"/>
    <w:rsid w:val="00C633D5"/>
    <w:rsid w:val="00C71643"/>
    <w:rsid w:val="00C72A80"/>
    <w:rsid w:val="00C73080"/>
    <w:rsid w:val="00C7333E"/>
    <w:rsid w:val="00C740CE"/>
    <w:rsid w:val="00C74AC7"/>
    <w:rsid w:val="00C822F9"/>
    <w:rsid w:val="00C83408"/>
    <w:rsid w:val="00C949CB"/>
    <w:rsid w:val="00C97E4B"/>
    <w:rsid w:val="00CA0B07"/>
    <w:rsid w:val="00CA1801"/>
    <w:rsid w:val="00CA20FF"/>
    <w:rsid w:val="00CA7334"/>
    <w:rsid w:val="00CA7357"/>
    <w:rsid w:val="00CB1FB9"/>
    <w:rsid w:val="00CB1FCD"/>
    <w:rsid w:val="00CB49F6"/>
    <w:rsid w:val="00CB6964"/>
    <w:rsid w:val="00CB78CA"/>
    <w:rsid w:val="00CB7981"/>
    <w:rsid w:val="00CB7C55"/>
    <w:rsid w:val="00CC25A8"/>
    <w:rsid w:val="00CC7E1E"/>
    <w:rsid w:val="00CD0889"/>
    <w:rsid w:val="00CD0B37"/>
    <w:rsid w:val="00CD0EB2"/>
    <w:rsid w:val="00CD33B4"/>
    <w:rsid w:val="00CD4A05"/>
    <w:rsid w:val="00CD4B11"/>
    <w:rsid w:val="00CD4EE2"/>
    <w:rsid w:val="00CD508E"/>
    <w:rsid w:val="00CE2881"/>
    <w:rsid w:val="00CE3CCA"/>
    <w:rsid w:val="00CF7EB1"/>
    <w:rsid w:val="00D015D6"/>
    <w:rsid w:val="00D03DA0"/>
    <w:rsid w:val="00D07EAF"/>
    <w:rsid w:val="00D11C59"/>
    <w:rsid w:val="00D1270C"/>
    <w:rsid w:val="00D15B13"/>
    <w:rsid w:val="00D21E47"/>
    <w:rsid w:val="00D22431"/>
    <w:rsid w:val="00D2531A"/>
    <w:rsid w:val="00D31A1B"/>
    <w:rsid w:val="00D31E99"/>
    <w:rsid w:val="00D32C7D"/>
    <w:rsid w:val="00D346AD"/>
    <w:rsid w:val="00D34A05"/>
    <w:rsid w:val="00D35773"/>
    <w:rsid w:val="00D35C5C"/>
    <w:rsid w:val="00D3717A"/>
    <w:rsid w:val="00D4313A"/>
    <w:rsid w:val="00D5368A"/>
    <w:rsid w:val="00D544E4"/>
    <w:rsid w:val="00D552AC"/>
    <w:rsid w:val="00D57739"/>
    <w:rsid w:val="00D63785"/>
    <w:rsid w:val="00D66696"/>
    <w:rsid w:val="00D66FB5"/>
    <w:rsid w:val="00D70612"/>
    <w:rsid w:val="00D75617"/>
    <w:rsid w:val="00D75AAE"/>
    <w:rsid w:val="00D76F71"/>
    <w:rsid w:val="00D84CB2"/>
    <w:rsid w:val="00D84F82"/>
    <w:rsid w:val="00D904E2"/>
    <w:rsid w:val="00DA0369"/>
    <w:rsid w:val="00DA19CD"/>
    <w:rsid w:val="00DA2249"/>
    <w:rsid w:val="00DA29AE"/>
    <w:rsid w:val="00DA2BFC"/>
    <w:rsid w:val="00DB008E"/>
    <w:rsid w:val="00DB0C83"/>
    <w:rsid w:val="00DB2F8C"/>
    <w:rsid w:val="00DB5685"/>
    <w:rsid w:val="00DC0C17"/>
    <w:rsid w:val="00DC0ECC"/>
    <w:rsid w:val="00DC4420"/>
    <w:rsid w:val="00DC67C2"/>
    <w:rsid w:val="00DC6F09"/>
    <w:rsid w:val="00DD144D"/>
    <w:rsid w:val="00DD1865"/>
    <w:rsid w:val="00DD1AE6"/>
    <w:rsid w:val="00DD35EA"/>
    <w:rsid w:val="00DD3AB3"/>
    <w:rsid w:val="00DD3EA7"/>
    <w:rsid w:val="00DD71F9"/>
    <w:rsid w:val="00DE1538"/>
    <w:rsid w:val="00DE1754"/>
    <w:rsid w:val="00DE44C7"/>
    <w:rsid w:val="00DE543C"/>
    <w:rsid w:val="00DF0739"/>
    <w:rsid w:val="00DF0C06"/>
    <w:rsid w:val="00DF0CA0"/>
    <w:rsid w:val="00DF2B6E"/>
    <w:rsid w:val="00DF5EA0"/>
    <w:rsid w:val="00DF765E"/>
    <w:rsid w:val="00E0041C"/>
    <w:rsid w:val="00E01CA9"/>
    <w:rsid w:val="00E047BC"/>
    <w:rsid w:val="00E04E13"/>
    <w:rsid w:val="00E10992"/>
    <w:rsid w:val="00E10DF8"/>
    <w:rsid w:val="00E116DF"/>
    <w:rsid w:val="00E12CD4"/>
    <w:rsid w:val="00E1341D"/>
    <w:rsid w:val="00E13FC9"/>
    <w:rsid w:val="00E149D5"/>
    <w:rsid w:val="00E14F1F"/>
    <w:rsid w:val="00E15A05"/>
    <w:rsid w:val="00E15C67"/>
    <w:rsid w:val="00E17301"/>
    <w:rsid w:val="00E20589"/>
    <w:rsid w:val="00E21179"/>
    <w:rsid w:val="00E22891"/>
    <w:rsid w:val="00E23D72"/>
    <w:rsid w:val="00E26A00"/>
    <w:rsid w:val="00E26BF2"/>
    <w:rsid w:val="00E3031B"/>
    <w:rsid w:val="00E30A34"/>
    <w:rsid w:val="00E311C1"/>
    <w:rsid w:val="00E3145B"/>
    <w:rsid w:val="00E33FDB"/>
    <w:rsid w:val="00E35547"/>
    <w:rsid w:val="00E3585B"/>
    <w:rsid w:val="00E413BC"/>
    <w:rsid w:val="00E524C8"/>
    <w:rsid w:val="00E542C5"/>
    <w:rsid w:val="00E573BF"/>
    <w:rsid w:val="00E6054F"/>
    <w:rsid w:val="00E627AA"/>
    <w:rsid w:val="00E6716D"/>
    <w:rsid w:val="00E70637"/>
    <w:rsid w:val="00E73669"/>
    <w:rsid w:val="00E7605C"/>
    <w:rsid w:val="00E80ACC"/>
    <w:rsid w:val="00E81D0B"/>
    <w:rsid w:val="00E85F02"/>
    <w:rsid w:val="00E9405C"/>
    <w:rsid w:val="00E95102"/>
    <w:rsid w:val="00E956CE"/>
    <w:rsid w:val="00E96181"/>
    <w:rsid w:val="00E9626D"/>
    <w:rsid w:val="00EA1F3B"/>
    <w:rsid w:val="00EA3D37"/>
    <w:rsid w:val="00EA6125"/>
    <w:rsid w:val="00EA78F3"/>
    <w:rsid w:val="00EA7FEE"/>
    <w:rsid w:val="00EB4475"/>
    <w:rsid w:val="00EB4504"/>
    <w:rsid w:val="00EB5D87"/>
    <w:rsid w:val="00EB7BDD"/>
    <w:rsid w:val="00EC0F2D"/>
    <w:rsid w:val="00EC5168"/>
    <w:rsid w:val="00EC5B26"/>
    <w:rsid w:val="00EC5C59"/>
    <w:rsid w:val="00ED20E9"/>
    <w:rsid w:val="00ED5217"/>
    <w:rsid w:val="00EE09A8"/>
    <w:rsid w:val="00EF1199"/>
    <w:rsid w:val="00EF379C"/>
    <w:rsid w:val="00EF5857"/>
    <w:rsid w:val="00EF5BC2"/>
    <w:rsid w:val="00F021F3"/>
    <w:rsid w:val="00F05657"/>
    <w:rsid w:val="00F06775"/>
    <w:rsid w:val="00F10D81"/>
    <w:rsid w:val="00F1235E"/>
    <w:rsid w:val="00F1521A"/>
    <w:rsid w:val="00F20DB6"/>
    <w:rsid w:val="00F26BCF"/>
    <w:rsid w:val="00F312ED"/>
    <w:rsid w:val="00F345B6"/>
    <w:rsid w:val="00F3594E"/>
    <w:rsid w:val="00F3629A"/>
    <w:rsid w:val="00F40972"/>
    <w:rsid w:val="00F44202"/>
    <w:rsid w:val="00F44467"/>
    <w:rsid w:val="00F45F40"/>
    <w:rsid w:val="00F46D98"/>
    <w:rsid w:val="00F47065"/>
    <w:rsid w:val="00F47884"/>
    <w:rsid w:val="00F5011A"/>
    <w:rsid w:val="00F5123E"/>
    <w:rsid w:val="00F51FC3"/>
    <w:rsid w:val="00F53DFB"/>
    <w:rsid w:val="00F53FB9"/>
    <w:rsid w:val="00F554A3"/>
    <w:rsid w:val="00F56FAB"/>
    <w:rsid w:val="00F61379"/>
    <w:rsid w:val="00F614C5"/>
    <w:rsid w:val="00F61833"/>
    <w:rsid w:val="00F64178"/>
    <w:rsid w:val="00F65982"/>
    <w:rsid w:val="00F65D53"/>
    <w:rsid w:val="00F67B32"/>
    <w:rsid w:val="00F7001C"/>
    <w:rsid w:val="00F7021F"/>
    <w:rsid w:val="00F729EE"/>
    <w:rsid w:val="00F73461"/>
    <w:rsid w:val="00F735E8"/>
    <w:rsid w:val="00F803DF"/>
    <w:rsid w:val="00F80DA1"/>
    <w:rsid w:val="00F9026C"/>
    <w:rsid w:val="00F96176"/>
    <w:rsid w:val="00FA4395"/>
    <w:rsid w:val="00FA7A8F"/>
    <w:rsid w:val="00FB1AE1"/>
    <w:rsid w:val="00FB5BAE"/>
    <w:rsid w:val="00FB7C3A"/>
    <w:rsid w:val="00FB7FCC"/>
    <w:rsid w:val="00FC3870"/>
    <w:rsid w:val="00FC76AF"/>
    <w:rsid w:val="00FD10E3"/>
    <w:rsid w:val="00FD2C4A"/>
    <w:rsid w:val="00FD2C7F"/>
    <w:rsid w:val="00FD3501"/>
    <w:rsid w:val="00FD657A"/>
    <w:rsid w:val="00FE164C"/>
    <w:rsid w:val="00FE259E"/>
    <w:rsid w:val="00FE6103"/>
    <w:rsid w:val="00FE7372"/>
    <w:rsid w:val="00FE7E49"/>
    <w:rsid w:val="00FF0952"/>
    <w:rsid w:val="00FF3BA5"/>
    <w:rsid w:val="00FF46D2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65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C85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4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85"/>
    <w:rPr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5644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4479"/>
    <w:rPr>
      <w:rFonts w:ascii="Tahoma" w:hAnsi="Tahoma" w:cs="Tahoma"/>
      <w:sz w:val="16"/>
      <w:szCs w:val="16"/>
      <w:lang w:val="sr-Latn-CS"/>
    </w:rPr>
  </w:style>
  <w:style w:type="table" w:styleId="TableGrid">
    <w:name w:val="Table Grid"/>
    <w:basedOn w:val="TableNormal"/>
    <w:rsid w:val="008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E3F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3Deffects1">
    <w:name w:val="Table 3D effects 1"/>
    <w:basedOn w:val="TableNormal"/>
    <w:rsid w:val="007C4E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4E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4E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C4E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65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C85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4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85"/>
    <w:rPr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5644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4479"/>
    <w:rPr>
      <w:rFonts w:ascii="Tahoma" w:hAnsi="Tahoma" w:cs="Tahoma"/>
      <w:sz w:val="16"/>
      <w:szCs w:val="16"/>
      <w:lang w:val="sr-Latn-CS"/>
    </w:rPr>
  </w:style>
  <w:style w:type="table" w:styleId="TableGrid">
    <w:name w:val="Table Grid"/>
    <w:basedOn w:val="TableNormal"/>
    <w:rsid w:val="008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E3F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3Deffects1">
    <w:name w:val="Table 3D effects 1"/>
    <w:basedOn w:val="TableNormal"/>
    <w:rsid w:val="007C4E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4E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4E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C4E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A5455-1538-48DB-931B-AE8E8FE1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</vt:lpstr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</dc:title>
  <dc:creator>pnatasa</dc:creator>
  <cp:lastModifiedBy> </cp:lastModifiedBy>
  <cp:revision>2</cp:revision>
  <cp:lastPrinted>2018-04-27T07:33:00Z</cp:lastPrinted>
  <dcterms:created xsi:type="dcterms:W3CDTF">2022-07-21T08:22:00Z</dcterms:created>
  <dcterms:modified xsi:type="dcterms:W3CDTF">2022-07-21T08:22:00Z</dcterms:modified>
</cp:coreProperties>
</file>